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contextualSpacing/>
        <w:rPr>
          <w:rFonts w:hint="eastAsia" w:ascii="黑体" w:hAnsi="黑体" w:eastAsia="黑体" w:cs="黑体"/>
          <w:spacing w:val="-11"/>
          <w:sz w:val="32"/>
          <w:szCs w:val="32"/>
        </w:rPr>
      </w:pPr>
      <w:r>
        <w:rPr>
          <w:rFonts w:hint="eastAsia" w:ascii="黑体" w:hAnsi="黑体" w:eastAsia="黑体" w:cs="黑体"/>
          <w:spacing w:val="-11"/>
          <w:sz w:val="32"/>
          <w:szCs w:val="32"/>
        </w:rPr>
        <w:t>附件</w:t>
      </w:r>
    </w:p>
    <w:p>
      <w:pPr>
        <w:spacing w:line="560" w:lineRule="exact"/>
        <w:contextualSpacing/>
        <w:rPr>
          <w:rFonts w:hint="eastAsia" w:ascii="黑体" w:hAnsi="黑体" w:eastAsia="黑体" w:cs="黑体"/>
          <w:spacing w:val="-11"/>
          <w:sz w:val="32"/>
          <w:szCs w:val="32"/>
        </w:rPr>
      </w:pPr>
    </w:p>
    <w:p>
      <w:pPr>
        <w:spacing w:line="560" w:lineRule="exact"/>
        <w:contextualSpacing/>
        <w:jc w:val="center"/>
        <w:rPr>
          <w:rFonts w:hint="eastAsia" w:ascii="方正小标宋简体" w:hAnsi="方正小标宋简体" w:eastAsia="方正小标宋简体" w:cs="方正小标宋简体"/>
          <w:b w:val="0"/>
          <w:bCs w:val="0"/>
          <w:spacing w:val="-11"/>
          <w:sz w:val="44"/>
          <w:szCs w:val="44"/>
        </w:rPr>
      </w:pPr>
      <w:r>
        <w:rPr>
          <w:rFonts w:hint="eastAsia" w:ascii="方正小标宋简体" w:hAnsi="方正小标宋简体" w:eastAsia="方正小标宋简体" w:cs="方正小标宋简体"/>
          <w:b w:val="0"/>
          <w:bCs w:val="0"/>
          <w:spacing w:val="-11"/>
          <w:sz w:val="44"/>
          <w:szCs w:val="44"/>
        </w:rPr>
        <w:t>深圳市知识产权保护和运用“十五五”规划</w:t>
      </w:r>
    </w:p>
    <w:p>
      <w:pPr>
        <w:pStyle w:val="5"/>
        <w:jc w:val="center"/>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pacing w:val="-11"/>
          <w:sz w:val="32"/>
          <w:szCs w:val="32"/>
        </w:rPr>
        <w:t>（征求意见稿）</w:t>
      </w:r>
    </w:p>
    <w:p>
      <w:pPr>
        <w:spacing w:line="560" w:lineRule="exact"/>
        <w:rPr>
          <w:rFonts w:ascii="Times New Roman" w:hAnsi="Times New Roman" w:cs="Times New Roman"/>
          <w:color w:val="auto"/>
        </w:rPr>
      </w:pPr>
    </w:p>
    <w:p>
      <w:pPr>
        <w:pStyle w:val="2"/>
        <w:pageBreakBefore w:val="0"/>
        <w:widowControl w:val="0"/>
        <w:kinsoku/>
        <w:wordWrap/>
        <w:overflowPunct/>
        <w:topLinePunct w:val="0"/>
        <w:autoSpaceDE/>
        <w:autoSpaceDN/>
        <w:bidi w:val="0"/>
        <w:spacing w:line="579" w:lineRule="exact"/>
        <w:ind w:firstLine="64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一、规划背景</w:t>
      </w:r>
    </w:p>
    <w:p>
      <w:pPr>
        <w:pStyle w:val="3"/>
        <w:pageBreakBefore w:val="0"/>
        <w:widowControl w:val="0"/>
        <w:kinsoku/>
        <w:wordWrap/>
        <w:overflowPunct/>
        <w:topLinePunct w:val="0"/>
        <w:autoSpaceDE/>
        <w:autoSpaceDN/>
        <w:bidi w:val="0"/>
        <w:spacing w:line="579" w:lineRule="exact"/>
        <w:ind w:firstLine="643"/>
        <w:textAlignment w:val="auto"/>
        <w:rPr>
          <w:rFonts w:hint="eastAsia" w:ascii="Times New Roman" w:hAnsi="Times New Roman" w:eastAsia="楷体_GB2312" w:cs="Times New Roman"/>
          <w:color w:val="auto"/>
          <w:highlight w:val="none"/>
          <w:lang w:eastAsia="zh-CN"/>
        </w:rPr>
      </w:pPr>
      <w:bookmarkStart w:id="0" w:name="_Toc16380"/>
      <w:bookmarkStart w:id="1" w:name="_Toc15948"/>
      <w:bookmarkStart w:id="2" w:name="_Toc27460"/>
      <w:bookmarkStart w:id="3" w:name="_Toc27"/>
      <w:bookmarkStart w:id="4" w:name="_Toc32581"/>
      <w:bookmarkStart w:id="5" w:name="_Toc5378"/>
      <w:bookmarkStart w:id="6" w:name="_Toc27414"/>
      <w:r>
        <w:rPr>
          <w:rFonts w:hint="eastAsia" w:ascii="Times New Roman" w:hAnsi="Times New Roman" w:cs="Times New Roman"/>
          <w:color w:val="auto"/>
          <w:highlight w:val="none"/>
        </w:rPr>
        <w:t>（一）发展</w:t>
      </w:r>
      <w:bookmarkEnd w:id="0"/>
      <w:bookmarkEnd w:id="1"/>
      <w:bookmarkEnd w:id="2"/>
      <w:bookmarkEnd w:id="3"/>
      <w:bookmarkEnd w:id="4"/>
      <w:bookmarkEnd w:id="5"/>
      <w:bookmarkEnd w:id="6"/>
      <w:r>
        <w:rPr>
          <w:rFonts w:hint="eastAsia" w:ascii="Times New Roman" w:hAnsi="Times New Roman" w:cs="Times New Roman"/>
          <w:color w:val="auto"/>
          <w:highlight w:val="none"/>
          <w:lang w:val="en-US" w:eastAsia="zh-CN"/>
        </w:rPr>
        <w:t>成就</w:t>
      </w:r>
    </w:p>
    <w:p>
      <w:pPr>
        <w:spacing w:line="579" w:lineRule="exact"/>
        <w:ind w:firstLine="640" w:firstLineChars="2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十四五”时期，深圳高标准推进国家知识产权强市建设示范城市和知识产权保护高地建设。知识产权领域优化营商环境、数据知识产权登记等10余项国家级示范试点落地见效，“打造知识产权证券化特色品牌”“新领域新业态知识产权保护”“商业秘密规范保护”等8项综合改革试点经验获国家发展和改革委员会向全国推广，多项经验做法入选知识产权强国建设典型案例、版权强国建设典型案例、全国专利转化运用优秀案例及全国知识产权保护改革实践优秀案例等。“构建立体化海外维权工作格局”获国务院督查</w:t>
      </w:r>
      <w:r>
        <w:rPr>
          <w:rFonts w:hint="eastAsia" w:ascii="仿宋_GB2312" w:eastAsia="仿宋_GB2312" w:cs="Times New Roman"/>
          <w:color w:val="000000"/>
          <w:sz w:val="32"/>
          <w:szCs w:val="32"/>
          <w:lang w:eastAsia="zh-CN"/>
        </w:rPr>
        <w:t>激励</w:t>
      </w:r>
      <w:r>
        <w:rPr>
          <w:rFonts w:hint="eastAsia" w:ascii="仿宋_GB2312" w:hAnsi="Times New Roman" w:eastAsia="仿宋_GB2312" w:cs="Times New Roman"/>
          <w:color w:val="000000"/>
          <w:sz w:val="32"/>
          <w:szCs w:val="32"/>
        </w:rPr>
        <w:t>通报表扬。</w:t>
      </w:r>
      <w:r>
        <w:rPr>
          <w:rFonts w:hint="eastAsia" w:ascii="Times New Roman" w:hAnsi="Times New Roman" w:eastAsia="仿宋_GB2312" w:cs="Times New Roman"/>
          <w:sz w:val="32"/>
        </w:rPr>
        <w:t>国家知识产权局与</w:t>
      </w:r>
      <w:r>
        <w:rPr>
          <w:rFonts w:hint="eastAsia" w:ascii="仿宋_GB2312" w:hAnsi="仿宋_GB2312" w:eastAsia="仿宋_GB2312" w:cs="仿宋_GB2312"/>
          <w:sz w:val="32"/>
          <w:szCs w:val="32"/>
        </w:rPr>
        <w:t>北京大学在深共建国际知识产权学院。</w:t>
      </w:r>
      <w:r>
        <w:rPr>
          <w:rFonts w:hint="eastAsia" w:ascii="仿宋_GB2312" w:hAnsi="Times New Roman" w:eastAsia="仿宋_GB2312" w:cs="Times New Roman"/>
          <w:color w:val="000000"/>
          <w:sz w:val="32"/>
          <w:szCs w:val="32"/>
        </w:rPr>
        <w:t>“深圳—香港—广州”创新集群</w:t>
      </w:r>
      <w:r>
        <w:rPr>
          <w:rFonts w:hint="eastAsia" w:ascii="仿宋_GB2312" w:hAnsi="Times New Roman" w:eastAsia="仿宋_GB2312" w:cs="Times New Roman"/>
          <w:color w:val="000000"/>
          <w:sz w:val="32"/>
          <w:szCs w:val="32"/>
          <w:highlight w:val="none"/>
          <w:lang w:val="en-US" w:eastAsia="zh-CN"/>
        </w:rPr>
        <w:t>2025</w:t>
      </w:r>
      <w:r>
        <w:rPr>
          <w:rFonts w:hint="eastAsia" w:ascii="仿宋_GB2312" w:hAnsi="Times New Roman" w:eastAsia="仿宋_GB2312" w:cs="Times New Roman"/>
          <w:color w:val="000000"/>
          <w:sz w:val="32"/>
          <w:szCs w:val="32"/>
        </w:rPr>
        <w:t>年跃居全球百强创新集群榜首。</w:t>
      </w:r>
    </w:p>
    <w:p>
      <w:pPr>
        <w:spacing w:line="579" w:lineRule="exact"/>
        <w:ind w:firstLine="640" w:firstLineChars="200"/>
        <w:rPr>
          <w:rFonts w:hint="eastAsia" w:ascii="仿宋_GB2312" w:hAnsi="Times New Roman" w:eastAsia="仿宋_GB2312" w:cs="Times New Roman"/>
          <w:b/>
          <w:color w:val="000000"/>
          <w:sz w:val="32"/>
          <w:szCs w:val="32"/>
          <w:highlight w:val="none"/>
          <w:lang w:val="en-US" w:eastAsia="zh-CN"/>
        </w:rPr>
      </w:pPr>
      <w:r>
        <w:rPr>
          <w:rFonts w:hint="eastAsia" w:ascii="仿宋_GB2312" w:hAnsi="Times New Roman" w:eastAsia="仿宋_GB2312" w:cs="Times New Roman"/>
          <w:b w:val="0"/>
          <w:bCs/>
          <w:color w:val="000000"/>
          <w:sz w:val="32"/>
          <w:szCs w:val="32"/>
          <w:highlight w:val="none"/>
          <w:lang w:eastAsia="zh-CN"/>
        </w:rPr>
        <w:t>“十四五”期间，</w:t>
      </w:r>
      <w:r>
        <w:rPr>
          <w:rFonts w:hint="eastAsia" w:ascii="仿宋_GB2312" w:hAnsi="Times New Roman" w:eastAsia="仿宋_GB2312" w:cs="Times New Roman"/>
          <w:color w:val="000000"/>
          <w:sz w:val="32"/>
          <w:szCs w:val="32"/>
          <w:highlight w:val="none"/>
        </w:rPr>
        <w:t>全</w:t>
      </w:r>
      <w:r>
        <w:rPr>
          <w:rFonts w:hint="eastAsia" w:ascii="仿宋_GB2312" w:hAnsi="Times New Roman" w:eastAsia="仿宋_GB2312" w:cs="Times New Roman"/>
          <w:color w:val="000000"/>
          <w:sz w:val="32"/>
          <w:szCs w:val="32"/>
          <w:highlight w:val="none"/>
          <w:lang w:val="en-US" w:eastAsia="zh-CN"/>
        </w:rPr>
        <w:t>市国内专利授权量新增124.65万件</w:t>
      </w:r>
      <w:r>
        <w:rPr>
          <w:rFonts w:hint="eastAsia" w:ascii="仿宋_GB2312" w:hAnsi="Times New Roman" w:eastAsia="仿宋_GB2312" w:cs="Times New Roman"/>
          <w:b w:val="0"/>
          <w:bCs/>
          <w:color w:val="000000"/>
          <w:sz w:val="32"/>
          <w:szCs w:val="32"/>
          <w:highlight w:val="none"/>
          <w:lang w:val="en-US" w:eastAsia="zh-CN"/>
        </w:rPr>
        <w:t>，</w:t>
      </w:r>
      <w:r>
        <w:rPr>
          <w:rFonts w:hint="eastAsia" w:ascii="仿宋_GB2312" w:hAnsi="Times New Roman" w:eastAsia="仿宋_GB2312" w:cs="Times New Roman"/>
          <w:b w:val="0"/>
          <w:bCs/>
          <w:color w:val="000000"/>
          <w:sz w:val="32"/>
          <w:szCs w:val="32"/>
          <w:highlight w:val="none"/>
          <w:lang w:eastAsia="zh-CN"/>
        </w:rPr>
        <w:t>PCT国</w:t>
      </w:r>
      <w:r>
        <w:rPr>
          <w:rFonts w:hint="eastAsia" w:ascii="仿宋_GB2312" w:hAnsi="Times New Roman" w:eastAsia="仿宋_GB2312" w:cs="Times New Roman"/>
          <w:color w:val="000000"/>
          <w:sz w:val="32"/>
          <w:szCs w:val="32"/>
          <w:highlight w:val="none"/>
        </w:rPr>
        <w:t>际专利申请量</w:t>
      </w:r>
      <w:r>
        <w:rPr>
          <w:rFonts w:hint="eastAsia" w:ascii="仿宋_GB2312" w:hAnsi="Times New Roman" w:eastAsia="仿宋_GB2312" w:cs="Times New Roman"/>
          <w:color w:val="000000"/>
          <w:sz w:val="32"/>
          <w:szCs w:val="32"/>
          <w:highlight w:val="none"/>
          <w:lang w:val="en-US" w:eastAsia="zh-CN"/>
        </w:rPr>
        <w:t>新增8.52万件、商标注册量新增154.47万件，</w:t>
      </w:r>
      <w:r>
        <w:rPr>
          <w:rFonts w:hint="eastAsia" w:ascii="仿宋_GB2312" w:hAnsi="Times New Roman" w:eastAsia="仿宋_GB2312" w:cs="Times New Roman"/>
          <w:color w:val="000000"/>
          <w:sz w:val="32"/>
          <w:szCs w:val="32"/>
          <w:highlight w:val="none"/>
        </w:rPr>
        <w:t>均居全国首位；每万人口高价值发明专利拥有量增加至119件，约为全国的7.48倍；中国专利奖获奖项目累计364项</w:t>
      </w:r>
      <w:r>
        <w:rPr>
          <w:rFonts w:hint="eastAsia" w:ascii="仿宋_GB2312" w:hAnsi="Times New Roman" w:eastAsia="仿宋_GB2312" w:cs="Times New Roman"/>
          <w:color w:val="000000"/>
          <w:sz w:val="32"/>
          <w:szCs w:val="32"/>
          <w:highlight w:val="none"/>
          <w:lang w:eastAsia="zh-CN"/>
        </w:rPr>
        <w:t>，</w:t>
      </w:r>
      <w:r>
        <w:rPr>
          <w:rFonts w:hint="eastAsia" w:ascii="仿宋_GB2312" w:hAnsi="Times New Roman" w:eastAsia="仿宋_GB2312" w:cs="Times New Roman"/>
          <w:color w:val="000000"/>
          <w:sz w:val="32"/>
          <w:szCs w:val="32"/>
          <w:highlight w:val="none"/>
        </w:rPr>
        <w:t>其中金奖22项；专利转让许可总数16.2万件；专利商标质押融资登记金额超1700亿元，连续6年全省第一；知识产权证券化产品发行额超240亿元，持续领跑全国；累计培育29家国家、省、市三级公共服务网点及179家保护工作站，构建市、区、街道、园区四级公共服务网络。我市“十四五”知识产权规划实施取得良好成效，高质量发展底色更加鲜明。</w:t>
      </w:r>
    </w:p>
    <w:p>
      <w:pPr>
        <w:pStyle w:val="4"/>
        <w:keepNext/>
        <w:jc w:val="center"/>
        <w:rPr>
          <w:rFonts w:hint="eastAsia" w:cs="Times New Roman"/>
          <w:highlight w:val="none"/>
        </w:rPr>
      </w:pPr>
    </w:p>
    <w:p>
      <w:pPr>
        <w:pStyle w:val="4"/>
        <w:keepNext/>
        <w:jc w:val="center"/>
        <w:rPr>
          <w:rFonts w:cs="Times New Roman"/>
          <w:highlight w:val="none"/>
        </w:rPr>
      </w:pPr>
      <w:r>
        <w:rPr>
          <w:rFonts w:hint="eastAsia" w:cs="Times New Roman"/>
          <w:sz w:val="21"/>
          <w:szCs w:val="21"/>
          <w:highlight w:val="none"/>
        </w:rPr>
        <w:t xml:space="preserve">表 </w:t>
      </w:r>
      <w:r>
        <w:rPr>
          <w:rFonts w:cs="Times New Roman"/>
          <w:sz w:val="21"/>
          <w:szCs w:val="21"/>
          <w:highlight w:val="none"/>
        </w:rPr>
        <w:fldChar w:fldCharType="begin"/>
      </w:r>
      <w:r>
        <w:rPr>
          <w:rFonts w:cs="Times New Roman"/>
          <w:sz w:val="21"/>
          <w:szCs w:val="21"/>
          <w:highlight w:val="none"/>
        </w:rPr>
        <w:instrText xml:space="preserve"> </w:instrText>
      </w:r>
      <w:r>
        <w:rPr>
          <w:rFonts w:hint="eastAsia" w:cs="Times New Roman"/>
          <w:sz w:val="21"/>
          <w:szCs w:val="21"/>
          <w:highlight w:val="none"/>
        </w:rPr>
        <w:instrText xml:space="preserve">SEQ 表 \* ARABIC</w:instrText>
      </w:r>
      <w:r>
        <w:rPr>
          <w:rFonts w:cs="Times New Roman"/>
          <w:sz w:val="21"/>
          <w:szCs w:val="21"/>
          <w:highlight w:val="none"/>
        </w:rPr>
        <w:instrText xml:space="preserve"> </w:instrText>
      </w:r>
      <w:r>
        <w:rPr>
          <w:rFonts w:cs="Times New Roman"/>
          <w:sz w:val="21"/>
          <w:szCs w:val="21"/>
          <w:highlight w:val="none"/>
        </w:rPr>
        <w:fldChar w:fldCharType="separate"/>
      </w:r>
      <w:r>
        <w:rPr>
          <w:rFonts w:hint="eastAsia" w:cs="Times New Roman"/>
          <w:sz w:val="21"/>
          <w:szCs w:val="21"/>
          <w:highlight w:val="none"/>
        </w:rPr>
        <w:t>1</w:t>
      </w:r>
      <w:r>
        <w:rPr>
          <w:rFonts w:cs="Times New Roman"/>
          <w:sz w:val="21"/>
          <w:szCs w:val="21"/>
          <w:highlight w:val="none"/>
        </w:rPr>
        <w:fldChar w:fldCharType="end"/>
      </w:r>
      <w:r>
        <w:rPr>
          <w:rFonts w:hint="eastAsia" w:cs="Times New Roman"/>
          <w:sz w:val="21"/>
          <w:szCs w:val="21"/>
          <w:highlight w:val="none"/>
          <w:lang w:val="en-US" w:eastAsia="zh-CN"/>
        </w:rPr>
        <w:t xml:space="preserve"> 深圳市</w:t>
      </w:r>
      <w:r>
        <w:rPr>
          <w:rFonts w:hint="eastAsia" w:cs="Times New Roman"/>
          <w:sz w:val="21"/>
          <w:szCs w:val="21"/>
          <w:highlight w:val="none"/>
        </w:rPr>
        <w:t>“十四五”时期知识产权主要预期性指标完成情况</w:t>
      </w:r>
    </w:p>
    <w:tbl>
      <w:tblPr>
        <w:tblStyle w:val="10"/>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4125"/>
        <w:gridCol w:w="1222"/>
        <w:gridCol w:w="1267"/>
        <w:gridCol w:w="1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suppressLineNumbers w:val="0"/>
              <w:kinsoku/>
              <w:wordWrap/>
              <w:overflowPunct/>
              <w:topLinePunct w:val="0"/>
              <w:autoSpaceDE/>
              <w:autoSpaceDN/>
              <w:bidi w:val="0"/>
              <w:spacing w:before="0" w:beforeAutospacing="0" w:after="0" w:afterAutospacing="0" w:line="440" w:lineRule="exact"/>
              <w:ind w:left="0" w:leftChars="0" w:right="0" w:firstLine="0" w:firstLineChars="0"/>
              <w:jc w:val="center"/>
              <w:textAlignment w:val="auto"/>
              <w:rPr>
                <w:rFonts w:hint="eastAsia" w:ascii="宋体" w:hAnsi="宋体" w:eastAsia="宋体" w:cs="Times New Roman"/>
                <w:color w:val="000000"/>
                <w:kern w:val="2"/>
                <w:sz w:val="21"/>
                <w:szCs w:val="22"/>
                <w:highlight w:val="none"/>
                <w:lang w:val="en-US" w:eastAsia="zh-CN" w:bidi="ar-SA"/>
              </w:rPr>
            </w:pPr>
            <w:r>
              <w:rPr>
                <w:rFonts w:hint="eastAsia" w:ascii="宋体" w:hAnsi="宋体" w:eastAsia="宋体" w:cs="Times New Roman"/>
                <w:color w:val="000000"/>
                <w:kern w:val="2"/>
                <w:sz w:val="21"/>
                <w:szCs w:val="22"/>
                <w:highlight w:val="none"/>
                <w:lang w:val="en-US" w:eastAsia="zh-CN" w:bidi="ar-SA"/>
              </w:rPr>
              <w:t>序号</w:t>
            </w:r>
          </w:p>
        </w:tc>
        <w:tc>
          <w:tcPr>
            <w:tcW w:w="4125"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宋体" w:hAnsi="宋体" w:eastAsia="宋体" w:cs="Times New Roman"/>
                <w:color w:val="000000"/>
                <w:kern w:val="2"/>
                <w:sz w:val="21"/>
                <w:szCs w:val="22"/>
                <w:highlight w:val="none"/>
                <w:lang w:val="en-US" w:eastAsia="zh-CN" w:bidi="ar-SA"/>
              </w:rPr>
            </w:pPr>
            <w:r>
              <w:rPr>
                <w:rFonts w:hint="eastAsia" w:ascii="宋体" w:hAnsi="宋体" w:eastAsia="宋体" w:cs="Times New Roman"/>
                <w:color w:val="000000"/>
                <w:kern w:val="2"/>
                <w:sz w:val="21"/>
                <w:szCs w:val="22"/>
                <w:highlight w:val="none"/>
                <w:lang w:val="en-US" w:eastAsia="zh-CN" w:bidi="ar-SA"/>
              </w:rPr>
              <w:t>指标项</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宋体" w:hAnsi="宋体" w:eastAsia="宋体" w:cs="Times New Roman"/>
                <w:color w:val="000000"/>
                <w:kern w:val="2"/>
                <w:sz w:val="21"/>
                <w:szCs w:val="22"/>
                <w:highlight w:val="none"/>
                <w:lang w:val="en-US" w:eastAsia="zh-CN" w:bidi="ar-SA"/>
              </w:rPr>
            </w:pPr>
            <w:r>
              <w:rPr>
                <w:rFonts w:hint="eastAsia" w:ascii="宋体" w:hAnsi="宋体" w:eastAsia="宋体" w:cs="Times New Roman"/>
                <w:color w:val="000000"/>
                <w:kern w:val="2"/>
                <w:sz w:val="21"/>
                <w:szCs w:val="22"/>
                <w:highlight w:val="none"/>
                <w:lang w:val="en-US" w:eastAsia="zh-CN" w:bidi="ar-SA"/>
              </w:rPr>
              <w:t>“十三五”</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宋体" w:hAnsi="宋体" w:eastAsia="宋体" w:cs="Times New Roman"/>
                <w:color w:val="000000"/>
                <w:kern w:val="2"/>
                <w:sz w:val="21"/>
                <w:szCs w:val="22"/>
                <w:highlight w:val="none"/>
                <w:lang w:val="en-US" w:eastAsia="zh-CN" w:bidi="ar-SA"/>
              </w:rPr>
            </w:pPr>
            <w:r>
              <w:rPr>
                <w:rFonts w:hint="eastAsia" w:ascii="宋体" w:hAnsi="宋体" w:eastAsia="宋体" w:cs="Times New Roman"/>
                <w:color w:val="000000"/>
                <w:kern w:val="2"/>
                <w:sz w:val="21"/>
                <w:szCs w:val="22"/>
                <w:highlight w:val="none"/>
                <w:lang w:val="en-US" w:eastAsia="zh-CN" w:bidi="ar-SA"/>
              </w:rPr>
              <w:t>完成情况</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Times New Roman"/>
                <w:color w:val="000000"/>
                <w:kern w:val="2"/>
                <w:sz w:val="21"/>
                <w:szCs w:val="22"/>
                <w:highlight w:val="none"/>
                <w:lang w:val="en-US" w:eastAsia="zh-CN" w:bidi="ar-SA"/>
              </w:rPr>
            </w:pPr>
            <w:r>
              <w:rPr>
                <w:rFonts w:hint="eastAsia" w:ascii="宋体" w:hAnsi="宋体" w:eastAsia="宋体" w:cs="Times New Roman"/>
                <w:color w:val="000000"/>
                <w:kern w:val="2"/>
                <w:sz w:val="21"/>
                <w:szCs w:val="22"/>
                <w:highlight w:val="none"/>
                <w:lang w:val="en-US" w:eastAsia="zh-CN" w:bidi="ar-SA"/>
              </w:rPr>
              <w:t>“十四五”</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rightChars="0" w:firstLine="0" w:firstLineChars="0"/>
              <w:jc w:val="center"/>
              <w:textAlignment w:val="auto"/>
              <w:rPr>
                <w:rFonts w:hint="eastAsia" w:ascii="宋体" w:hAnsi="宋体" w:eastAsia="宋体" w:cs="Times New Roman"/>
                <w:color w:val="000000"/>
                <w:kern w:val="2"/>
                <w:sz w:val="21"/>
                <w:szCs w:val="22"/>
                <w:highlight w:val="none"/>
                <w:lang w:val="en-US" w:eastAsia="zh-CN" w:bidi="ar-SA"/>
              </w:rPr>
            </w:pPr>
            <w:r>
              <w:rPr>
                <w:rFonts w:hint="eastAsia" w:ascii="宋体" w:hAnsi="宋体" w:eastAsia="宋体" w:cs="Times New Roman"/>
                <w:color w:val="000000"/>
                <w:kern w:val="2"/>
                <w:sz w:val="21"/>
                <w:szCs w:val="22"/>
                <w:highlight w:val="none"/>
                <w:lang w:val="en-US" w:eastAsia="zh-CN" w:bidi="ar-SA"/>
              </w:rPr>
              <w:t>末预期值</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宋体" w:hAnsi="宋体" w:eastAsia="宋体" w:cs="Times New Roman"/>
                <w:color w:val="000000"/>
                <w:kern w:val="2"/>
                <w:sz w:val="21"/>
                <w:szCs w:val="22"/>
                <w:highlight w:val="none"/>
                <w:lang w:val="en-US" w:eastAsia="zh-CN" w:bidi="ar-SA"/>
              </w:rPr>
            </w:pPr>
            <w:r>
              <w:rPr>
                <w:rFonts w:hint="eastAsia" w:ascii="宋体" w:hAnsi="宋体" w:eastAsia="宋体" w:cs="Times New Roman"/>
                <w:color w:val="000000"/>
                <w:kern w:val="2"/>
                <w:sz w:val="21"/>
                <w:szCs w:val="22"/>
                <w:highlight w:val="none"/>
                <w:lang w:val="en-US" w:eastAsia="zh-CN" w:bidi="ar-SA"/>
              </w:rPr>
              <w:t>“十四五”</w:t>
            </w:r>
          </w:p>
          <w:p>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leftChars="0" w:right="0" w:firstLine="0" w:firstLineChars="0"/>
              <w:jc w:val="center"/>
              <w:textAlignment w:val="auto"/>
              <w:rPr>
                <w:rFonts w:hint="eastAsia" w:ascii="宋体" w:hAnsi="宋体" w:eastAsia="宋体" w:cs="Times New Roman"/>
                <w:color w:val="000000"/>
                <w:kern w:val="2"/>
                <w:sz w:val="21"/>
                <w:szCs w:val="22"/>
                <w:highlight w:val="none"/>
                <w:lang w:val="en-US" w:eastAsia="zh-CN" w:bidi="ar-SA"/>
              </w:rPr>
            </w:pPr>
            <w:r>
              <w:rPr>
                <w:rFonts w:hint="eastAsia" w:ascii="宋体" w:hAnsi="宋体" w:eastAsia="宋体" w:cs="Times New Roman"/>
                <w:color w:val="000000"/>
                <w:kern w:val="2"/>
                <w:sz w:val="21"/>
                <w:szCs w:val="22"/>
                <w:highlight w:val="none"/>
                <w:lang w:val="en-US" w:eastAsia="zh-CN" w:bidi="ar-SA"/>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1</w:t>
            </w:r>
          </w:p>
        </w:tc>
        <w:tc>
          <w:tcPr>
            <w:tcW w:w="4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每万人口高价值发明专利拥有量（件）</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57.33</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108</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color w:val="000000"/>
                <w:szCs w:val="22"/>
                <w:highlight w:val="none"/>
                <w:lang w:val="en-US"/>
              </w:rPr>
            </w:pPr>
            <w:r>
              <w:rPr>
                <w:rFonts w:hint="eastAsia" w:ascii="宋体" w:hAnsi="宋体" w:cs="Times New Roman"/>
                <w:color w:val="000000"/>
                <w:szCs w:val="22"/>
                <w:highlight w:val="none"/>
                <w:lang w:val="en-US" w:eastAsia="zh-CN"/>
              </w:rPr>
              <w:t>119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2</w:t>
            </w:r>
          </w:p>
        </w:tc>
        <w:tc>
          <w:tcPr>
            <w:tcW w:w="4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海外发明专利授权量新增量（件）</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50000</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color w:val="000000"/>
                <w:szCs w:val="22"/>
                <w:highlight w:val="none"/>
                <w:lang w:val="en-US"/>
              </w:rPr>
            </w:pPr>
            <w:r>
              <w:rPr>
                <w:rFonts w:hint="eastAsia" w:ascii="宋体" w:hAnsi="宋体" w:cs="Times New Roman"/>
                <w:color w:val="000000"/>
                <w:szCs w:val="22"/>
                <w:highlight w:val="none"/>
                <w:lang w:val="en-US" w:eastAsia="zh-CN"/>
              </w:rPr>
              <w:t>75338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3</w:t>
            </w:r>
          </w:p>
        </w:tc>
        <w:tc>
          <w:tcPr>
            <w:tcW w:w="4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知识产权证券化发行额新增量（</w:t>
            </w:r>
            <w:r>
              <w:rPr>
                <w:rFonts w:hint="eastAsia" w:ascii="宋体" w:hAnsi="宋体" w:cs="Times New Roman"/>
                <w:color w:val="000000"/>
                <w:szCs w:val="22"/>
                <w:highlight w:val="none"/>
                <w:lang w:val="en-US" w:eastAsia="zh-CN"/>
              </w:rPr>
              <w:t>亿元</w:t>
            </w:r>
            <w:r>
              <w:rPr>
                <w:rFonts w:hint="eastAsia" w:ascii="宋体" w:hAnsi="宋体" w:eastAsia="宋体" w:cs="Times New Roman"/>
                <w:color w:val="000000"/>
                <w:szCs w:val="22"/>
                <w:highlight w:val="none"/>
                <w:lang w:val="en-US" w:eastAsia="zh-CN"/>
              </w:rPr>
              <w:t>）</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14.28</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100</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color w:val="000000"/>
                <w:szCs w:val="22"/>
                <w:highlight w:val="none"/>
                <w:lang w:val="en-US"/>
              </w:rPr>
            </w:pPr>
            <w:r>
              <w:rPr>
                <w:rFonts w:hint="eastAsia" w:ascii="宋体" w:hAnsi="宋体" w:eastAsia="宋体" w:cs="Times New Roman"/>
                <w:color w:val="000000"/>
                <w:szCs w:val="22"/>
                <w:highlight w:val="none"/>
                <w:lang w:val="en-US" w:eastAsia="zh-CN"/>
              </w:rPr>
              <w:t>240</w:t>
            </w:r>
            <w:r>
              <w:rPr>
                <w:rFonts w:hint="eastAsia" w:ascii="宋体" w:hAnsi="宋体" w:cs="Times New Roman"/>
                <w:color w:val="000000"/>
                <w:szCs w:val="22"/>
                <w:highlight w:val="none"/>
                <w:lang w:val="en-US" w:eastAsia="zh-CN"/>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4</w:t>
            </w:r>
          </w:p>
        </w:tc>
        <w:tc>
          <w:tcPr>
            <w:tcW w:w="4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知识产权质押融资新增量（</w:t>
            </w:r>
            <w:r>
              <w:rPr>
                <w:rFonts w:hint="eastAsia" w:ascii="宋体" w:hAnsi="宋体" w:cs="Times New Roman"/>
                <w:color w:val="000000"/>
                <w:szCs w:val="22"/>
                <w:highlight w:val="none"/>
                <w:lang w:val="en-US" w:eastAsia="zh-CN"/>
              </w:rPr>
              <w:t>亿元</w:t>
            </w:r>
            <w:r>
              <w:rPr>
                <w:rFonts w:hint="eastAsia" w:ascii="宋体" w:hAnsi="宋体" w:eastAsia="宋体" w:cs="Times New Roman"/>
                <w:color w:val="000000"/>
                <w:szCs w:val="22"/>
                <w:highlight w:val="none"/>
                <w:lang w:val="en-US" w:eastAsia="zh-CN"/>
              </w:rPr>
              <w:t>）</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102.57</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300</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color w:val="000000"/>
                <w:szCs w:val="22"/>
                <w:highlight w:val="none"/>
                <w:lang w:val="en-US"/>
              </w:rPr>
            </w:pPr>
            <w:r>
              <w:rPr>
                <w:rFonts w:hint="eastAsia" w:ascii="宋体" w:hAnsi="宋体" w:cs="Times New Roman"/>
                <w:color w:val="000000"/>
                <w:szCs w:val="22"/>
                <w:highlight w:val="none"/>
                <w:lang w:val="en-US" w:eastAsia="zh-CN"/>
              </w:rPr>
              <w:t>1752.29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5</w:t>
            </w:r>
          </w:p>
        </w:tc>
        <w:tc>
          <w:tcPr>
            <w:tcW w:w="4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知识产权密集型产业增加值年均增长率（%）</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8</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6</w:t>
            </w:r>
          </w:p>
        </w:tc>
        <w:tc>
          <w:tcPr>
            <w:tcW w:w="4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知识产权保护社会满意度（分）</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85</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宋体" w:hAnsi="宋体" w:eastAsia="宋体" w:cs="Times New Roman"/>
                <w:color w:val="000000"/>
                <w:szCs w:val="22"/>
                <w:highlight w:val="none"/>
                <w:lang w:val="en-US"/>
              </w:rPr>
            </w:pPr>
            <w:r>
              <w:rPr>
                <w:rFonts w:hint="eastAsia" w:ascii="宋体" w:hAnsi="宋体" w:cs="Times New Roman"/>
                <w:color w:val="000000"/>
                <w:szCs w:val="22"/>
                <w:highlight w:val="none"/>
                <w:lang w:val="en-US" w:eastAsia="zh-CN"/>
              </w:rPr>
              <w:t>89.53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7</w:t>
            </w:r>
          </w:p>
        </w:tc>
        <w:tc>
          <w:tcPr>
            <w:tcW w:w="4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新增知识产权服务机构数量（家）</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300</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1469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8</w:t>
            </w:r>
          </w:p>
        </w:tc>
        <w:tc>
          <w:tcPr>
            <w:tcW w:w="412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both"/>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新增知识产权律师（名）</w:t>
            </w:r>
          </w:p>
        </w:tc>
        <w:tc>
          <w:tcPr>
            <w:tcW w:w="12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w:t>
            </w:r>
          </w:p>
        </w:tc>
        <w:tc>
          <w:tcPr>
            <w:tcW w:w="12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100</w:t>
            </w:r>
          </w:p>
        </w:tc>
        <w:tc>
          <w:tcPr>
            <w:tcW w:w="12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Times New Roman"/>
                <w:color w:val="000000"/>
                <w:szCs w:val="22"/>
                <w:highlight w:val="none"/>
              </w:rPr>
            </w:pPr>
            <w:r>
              <w:rPr>
                <w:rFonts w:hint="eastAsia" w:ascii="宋体" w:hAnsi="宋体" w:eastAsia="宋体" w:cs="Times New Roman"/>
                <w:color w:val="000000"/>
                <w:szCs w:val="22"/>
                <w:highlight w:val="none"/>
                <w:lang w:val="en-US" w:eastAsia="zh-CN"/>
              </w:rPr>
              <w:t>417</w:t>
            </w:r>
          </w:p>
        </w:tc>
      </w:tr>
    </w:tbl>
    <w:p>
      <w:pPr>
        <w:rPr>
          <w:rFonts w:ascii="Times New Roman" w:hAnsi="Times New Roman" w:cs="Times New Roman"/>
        </w:rPr>
      </w:pPr>
    </w:p>
    <w:p>
      <w:pPr>
        <w:pStyle w:val="3"/>
        <w:pageBreakBefore w:val="0"/>
        <w:kinsoku/>
        <w:wordWrap/>
        <w:overflowPunct/>
        <w:topLinePunct w:val="0"/>
        <w:autoSpaceDE/>
        <w:autoSpaceDN/>
        <w:bidi w:val="0"/>
        <w:adjustRightInd/>
        <w:snapToGrid/>
        <w:spacing w:line="579" w:lineRule="exact"/>
        <w:ind w:firstLine="643"/>
        <w:textAlignment w:val="auto"/>
        <w:rPr>
          <w:rFonts w:hint="eastAsia" w:ascii="仿宋_GB2312" w:hAnsi="Times New Roman" w:eastAsia="仿宋_GB2312" w:cs="Times New Roman"/>
          <w:color w:val="000000"/>
          <w:sz w:val="32"/>
          <w:szCs w:val="32"/>
          <w:highlight w:val="none"/>
        </w:rPr>
      </w:pPr>
      <w:r>
        <w:rPr>
          <w:rFonts w:hint="eastAsia" w:ascii="Times New Roman" w:hAnsi="Times New Roman" w:cs="Times New Roman"/>
          <w:color w:val="auto"/>
        </w:rPr>
        <w:t>（</w:t>
      </w:r>
      <w:r>
        <w:rPr>
          <w:rFonts w:hint="eastAsia" w:ascii="Times New Roman" w:hAnsi="Times New Roman" w:cs="Times New Roman"/>
          <w:color w:val="auto"/>
          <w:lang w:val="en-US" w:eastAsia="zh-CN"/>
        </w:rPr>
        <w:t>二</w:t>
      </w:r>
      <w:r>
        <w:rPr>
          <w:rFonts w:hint="eastAsia" w:ascii="Times New Roman" w:hAnsi="Times New Roman" w:cs="Times New Roman"/>
          <w:color w:val="auto"/>
        </w:rPr>
        <w:t>）发展</w:t>
      </w:r>
      <w:r>
        <w:rPr>
          <w:rFonts w:hint="eastAsia" w:ascii="Times New Roman" w:hAnsi="Times New Roman" w:cs="Times New Roman"/>
          <w:color w:val="auto"/>
          <w:lang w:val="en-US" w:eastAsia="zh-CN"/>
        </w:rPr>
        <w:t>形势</w:t>
      </w:r>
    </w:p>
    <w:p>
      <w:pPr>
        <w:widowControl/>
        <w:spacing w:line="600" w:lineRule="exact"/>
        <w:ind w:firstLine="640" w:firstLineChars="200"/>
        <w:jc w:val="both"/>
        <w:rPr>
          <w:rFonts w:hint="default" w:ascii="仿宋_GB2312" w:hAnsi="Times New Roman" w:eastAsia="仿宋_GB2312" w:cs="Times New Roman"/>
          <w:color w:val="000000"/>
          <w:sz w:val="32"/>
          <w:szCs w:val="32"/>
          <w:highlight w:val="none"/>
          <w:lang w:val="en-US" w:eastAsia="zh-CN"/>
        </w:rPr>
      </w:pPr>
      <w:r>
        <w:rPr>
          <w:rFonts w:hint="eastAsia" w:ascii="仿宋_GB2312" w:hAnsi="Times New Roman" w:eastAsia="仿宋_GB2312" w:cs="Times New Roman"/>
          <w:color w:val="000000"/>
          <w:sz w:val="32"/>
          <w:szCs w:val="32"/>
          <w:highlight w:val="none"/>
          <w:lang w:val="en-US" w:eastAsia="zh-CN"/>
        </w:rPr>
        <w:t>“十五五”时期</w:t>
      </w:r>
      <w:r>
        <w:rPr>
          <w:rFonts w:hint="eastAsia" w:ascii="仿宋_GB2312" w:hAnsi="Times New Roman" w:eastAsia="仿宋_GB2312" w:cs="Times New Roman"/>
          <w:color w:val="000000"/>
          <w:sz w:val="32"/>
          <w:szCs w:val="32"/>
          <w:highlight w:val="none"/>
        </w:rPr>
        <w:t>是基本实现社会主义现代化夯实基础、全面发力的关键时期，</w:t>
      </w:r>
      <w:r>
        <w:rPr>
          <w:rFonts w:hint="eastAsia" w:ascii="仿宋_GB2312" w:hAnsi="Times New Roman" w:eastAsia="仿宋_GB2312" w:cs="Times New Roman"/>
          <w:color w:val="000000"/>
          <w:sz w:val="32"/>
          <w:szCs w:val="32"/>
          <w:highlight w:val="none"/>
          <w:lang w:val="en-US" w:eastAsia="zh-CN"/>
        </w:rPr>
        <w:t>也是深圳打造更具全球影响力的经济中心城市和现代化国际大都市的紧要时期。</w:t>
      </w:r>
      <w:r>
        <w:rPr>
          <w:rFonts w:hint="eastAsia" w:ascii="仿宋_GB2312" w:hAnsi="Times New Roman" w:eastAsia="仿宋_GB2312" w:cs="Times New Roman"/>
          <w:color w:val="000000"/>
          <w:sz w:val="32"/>
          <w:szCs w:val="32"/>
          <w:highlight w:val="none"/>
          <w:lang w:eastAsia="zh-CN"/>
        </w:rPr>
        <w:t>深圳作为经济特区、中国特色社会主义先行示范区、粤港澳大湾区中心城市和核心引擎之一，具备</w:t>
      </w:r>
      <w:r>
        <w:rPr>
          <w:rFonts w:hint="eastAsia" w:ascii="仿宋_GB2312" w:hAnsi="Times New Roman" w:eastAsia="仿宋_GB2312" w:cs="Times New Roman"/>
          <w:color w:val="000000"/>
          <w:sz w:val="32"/>
          <w:szCs w:val="32"/>
          <w:highlight w:val="none"/>
          <w:lang w:val="en-US" w:eastAsia="zh-CN"/>
        </w:rPr>
        <w:t>更好的区位和</w:t>
      </w:r>
      <w:r>
        <w:rPr>
          <w:rFonts w:hint="eastAsia" w:ascii="仿宋_GB2312" w:hAnsi="Times New Roman" w:eastAsia="仿宋_GB2312" w:cs="Times New Roman"/>
          <w:color w:val="000000"/>
          <w:sz w:val="32"/>
          <w:szCs w:val="32"/>
          <w:highlight w:val="none"/>
          <w:lang w:eastAsia="zh-CN"/>
        </w:rPr>
        <w:t>发展基础优势、</w:t>
      </w:r>
      <w:r>
        <w:rPr>
          <w:rFonts w:hint="eastAsia" w:ascii="仿宋_GB2312" w:hAnsi="Times New Roman" w:eastAsia="仿宋_GB2312" w:cs="Times New Roman"/>
          <w:color w:val="000000"/>
          <w:sz w:val="32"/>
          <w:szCs w:val="32"/>
          <w:highlight w:val="none"/>
          <w:lang w:val="en-US" w:eastAsia="zh-CN"/>
        </w:rPr>
        <w:t>科技创新优势、</w:t>
      </w:r>
      <w:r>
        <w:rPr>
          <w:rFonts w:hint="eastAsia" w:ascii="仿宋_GB2312" w:hAnsi="Times New Roman" w:eastAsia="仿宋_GB2312" w:cs="Times New Roman"/>
          <w:color w:val="000000"/>
          <w:sz w:val="32"/>
          <w:szCs w:val="32"/>
          <w:highlight w:val="none"/>
          <w:lang w:eastAsia="zh-CN"/>
        </w:rPr>
        <w:t>产业领先优势、营商环境优势、改革开放优势</w:t>
      </w:r>
      <w:r>
        <w:rPr>
          <w:rFonts w:hint="eastAsia" w:ascii="仿宋_GB2312" w:hAnsi="Times New Roman" w:eastAsia="仿宋_GB2312" w:cs="Times New Roman"/>
          <w:color w:val="000000"/>
          <w:sz w:val="32"/>
          <w:szCs w:val="32"/>
          <w:highlight w:val="none"/>
          <w:lang w:val="en-US" w:eastAsia="zh-CN"/>
        </w:rPr>
        <w:t>等</w:t>
      </w:r>
      <w:r>
        <w:rPr>
          <w:rFonts w:hint="eastAsia" w:ascii="仿宋_GB2312" w:hAnsi="Times New Roman" w:eastAsia="仿宋_GB2312" w:cs="Times New Roman"/>
          <w:color w:val="000000"/>
          <w:sz w:val="32"/>
          <w:szCs w:val="32"/>
          <w:highlight w:val="none"/>
          <w:lang w:eastAsia="zh-CN"/>
        </w:rPr>
        <w:t>综合优势</w:t>
      </w:r>
      <w:r>
        <w:rPr>
          <w:rFonts w:hint="eastAsia" w:ascii="仿宋_GB2312" w:hAnsi="Times New Roman" w:eastAsia="仿宋_GB2312" w:cs="Times New Roman"/>
          <w:color w:val="000000"/>
          <w:sz w:val="32"/>
          <w:szCs w:val="32"/>
          <w:highlight w:val="none"/>
        </w:rPr>
        <w:t>，</w:t>
      </w:r>
      <w:r>
        <w:rPr>
          <w:rFonts w:hint="eastAsia" w:ascii="仿宋_GB2312" w:hAnsi="Times New Roman" w:eastAsia="仿宋_GB2312" w:cs="Times New Roman"/>
          <w:color w:val="000000"/>
          <w:sz w:val="32"/>
          <w:szCs w:val="32"/>
          <w:highlight w:val="none"/>
          <w:lang w:eastAsia="zh-CN"/>
        </w:rPr>
        <w:t>知识产权</w:t>
      </w:r>
      <w:r>
        <w:rPr>
          <w:rFonts w:hint="eastAsia" w:ascii="仿宋_GB2312" w:hAnsi="Times New Roman" w:eastAsia="仿宋_GB2312" w:cs="Times New Roman"/>
          <w:color w:val="000000"/>
          <w:sz w:val="32"/>
          <w:szCs w:val="32"/>
          <w:highlight w:val="none"/>
          <w:lang w:val="en-US" w:eastAsia="zh-CN"/>
        </w:rPr>
        <w:t>在支持全面创新、推动产业发展、促进文化繁荣和深化国际交流等方面将发挥越来越重要的作用</w:t>
      </w:r>
      <w:r>
        <w:rPr>
          <w:rFonts w:hint="eastAsia" w:ascii="仿宋_GB2312" w:hAnsi="Times New Roman" w:eastAsia="仿宋_GB2312" w:cs="Times New Roman"/>
          <w:color w:val="000000"/>
          <w:sz w:val="32"/>
          <w:szCs w:val="32"/>
          <w:highlight w:val="none"/>
          <w:lang w:eastAsia="zh-CN"/>
        </w:rPr>
        <w:t>，</w:t>
      </w:r>
      <w:r>
        <w:rPr>
          <w:rFonts w:hint="eastAsia" w:ascii="仿宋_GB2312" w:hAnsi="Times New Roman" w:eastAsia="仿宋_GB2312" w:cs="Times New Roman"/>
          <w:color w:val="000000"/>
          <w:sz w:val="32"/>
          <w:szCs w:val="32"/>
          <w:highlight w:val="none"/>
          <w:lang w:val="en-US" w:eastAsia="zh-CN"/>
        </w:rPr>
        <w:t>知识产权强市建设示范城市和知识产权保护高地基础夯实。</w:t>
      </w:r>
    </w:p>
    <w:p>
      <w:pPr>
        <w:pStyle w:val="2"/>
        <w:pageBreakBefore w:val="0"/>
        <w:kinsoku/>
        <w:wordWrap/>
        <w:overflowPunct/>
        <w:topLinePunct w:val="0"/>
        <w:autoSpaceDE/>
        <w:autoSpaceDN/>
        <w:bidi w:val="0"/>
        <w:adjustRightInd/>
        <w:snapToGrid/>
        <w:spacing w:line="579" w:lineRule="exact"/>
        <w:ind w:firstLine="640"/>
        <w:textAlignment w:val="auto"/>
        <w:rPr>
          <w:rFonts w:hint="eastAsia" w:ascii="仿宋_GB2312" w:hAnsi="Times New Roman" w:eastAsia="仿宋_GB2312" w:cs="Times New Roman"/>
          <w:color w:val="000000"/>
          <w:sz w:val="32"/>
          <w:szCs w:val="32"/>
          <w:highlight w:val="none"/>
          <w:lang w:val="en-US" w:eastAsia="zh-CN"/>
        </w:rPr>
      </w:pPr>
      <w:bookmarkStart w:id="7" w:name="_Toc31892"/>
      <w:bookmarkStart w:id="8" w:name="_Toc22921"/>
      <w:bookmarkStart w:id="9" w:name="_Toc28414"/>
      <w:bookmarkStart w:id="10" w:name="_Toc19727"/>
      <w:bookmarkStart w:id="11" w:name="_Toc1254"/>
      <w:r>
        <w:rPr>
          <w:rFonts w:hint="eastAsia" w:ascii="仿宋_GB2312" w:hAnsi="Times New Roman" w:eastAsia="仿宋_GB2312" w:cs="Times New Roman"/>
          <w:color w:val="000000"/>
          <w:sz w:val="32"/>
          <w:szCs w:val="32"/>
          <w:highlight w:val="none"/>
          <w:lang w:val="en-US" w:eastAsia="zh-CN"/>
        </w:rPr>
        <w:t>与此同时，新一轮科技革命和产业变革正在重构全球创新版图，特别是新一代人工智能等新技术快速演进，颠覆性创新正在催生新产业、新业态、新模式，深刻改变人类生产生活方式，对</w:t>
      </w:r>
      <w:r>
        <w:rPr>
          <w:rFonts w:hint="eastAsia" w:ascii="仿宋_GB2312" w:eastAsia="仿宋_GB2312" w:cs="Times New Roman"/>
          <w:color w:val="000000"/>
          <w:sz w:val="32"/>
          <w:szCs w:val="32"/>
          <w:highlight w:val="none"/>
          <w:lang w:val="en-US" w:eastAsia="zh-CN"/>
        </w:rPr>
        <w:t>深圳</w:t>
      </w:r>
      <w:r>
        <w:rPr>
          <w:rFonts w:hint="eastAsia" w:ascii="仿宋_GB2312" w:hAnsi="Times New Roman" w:eastAsia="仿宋_GB2312" w:cs="Times New Roman"/>
          <w:color w:val="000000"/>
          <w:sz w:val="32"/>
          <w:szCs w:val="32"/>
          <w:highlight w:val="none"/>
          <w:lang w:val="en-US" w:eastAsia="zh-CN"/>
        </w:rPr>
        <w:t>知识产权工作带来新的发展机遇的同时，也带来了新的挑战，主要表现为：知识产权综合管理体制改革有待全面深化，产业链知识产权联合创造、协同运用、共同保护和集成管理需要持续推进，知识产权转化运用长效机制有待深化，涉外知识产权保护工作体系仍需健全，企业海外知识产权纠纷应对能力需要进一步提升，知识产权服务供给结构有待进一步优化，知识产权全领域人才协同发展机制还不够完善等。</w:t>
      </w:r>
    </w:p>
    <w:p>
      <w:pPr>
        <w:pStyle w:val="2"/>
        <w:pageBreakBefore w:val="0"/>
        <w:kinsoku/>
        <w:wordWrap/>
        <w:overflowPunct/>
        <w:topLinePunct w:val="0"/>
        <w:autoSpaceDE/>
        <w:autoSpaceDN/>
        <w:bidi w:val="0"/>
        <w:adjustRightInd/>
        <w:snapToGrid/>
        <w:spacing w:line="579" w:lineRule="exact"/>
        <w:ind w:firstLine="64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二、总体要求</w:t>
      </w:r>
      <w:bookmarkEnd w:id="7"/>
      <w:bookmarkEnd w:id="8"/>
      <w:bookmarkEnd w:id="9"/>
      <w:bookmarkEnd w:id="10"/>
      <w:bookmarkEnd w:id="11"/>
    </w:p>
    <w:p>
      <w:pPr>
        <w:pStyle w:val="3"/>
        <w:pageBreakBefore w:val="0"/>
        <w:kinsoku/>
        <w:wordWrap/>
        <w:overflowPunct/>
        <w:topLinePunct w:val="0"/>
        <w:autoSpaceDE/>
        <w:autoSpaceDN/>
        <w:bidi w:val="0"/>
        <w:adjustRightInd/>
        <w:snapToGrid/>
        <w:spacing w:line="579" w:lineRule="exact"/>
        <w:ind w:firstLine="643"/>
        <w:textAlignment w:val="auto"/>
        <w:rPr>
          <w:rFonts w:ascii="Times New Roman" w:hAnsi="Times New Roman" w:cs="Times New Roman"/>
          <w:color w:val="auto"/>
          <w:highlight w:val="none"/>
        </w:rPr>
      </w:pPr>
      <w:bookmarkStart w:id="12" w:name="_Toc5139"/>
      <w:bookmarkStart w:id="13" w:name="_Toc755"/>
      <w:bookmarkStart w:id="14" w:name="_Toc28324"/>
      <w:bookmarkStart w:id="15" w:name="_Toc17731"/>
      <w:bookmarkStart w:id="16" w:name="_Toc6326"/>
      <w:bookmarkStart w:id="17" w:name="_Toc11359"/>
      <w:r>
        <w:rPr>
          <w:rFonts w:hint="eastAsia" w:ascii="Times New Roman" w:hAnsi="Times New Roman" w:cs="Times New Roman"/>
          <w:color w:val="auto"/>
          <w:highlight w:val="none"/>
        </w:rPr>
        <w:t>（一）指导思想</w:t>
      </w:r>
      <w:bookmarkEnd w:id="12"/>
      <w:bookmarkEnd w:id="13"/>
      <w:bookmarkEnd w:id="14"/>
      <w:bookmarkEnd w:id="15"/>
      <w:bookmarkEnd w:id="16"/>
      <w:bookmarkEnd w:id="17"/>
    </w:p>
    <w:p>
      <w:pPr>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color w:val="auto"/>
          <w:sz w:val="32"/>
          <w:szCs w:val="32"/>
          <w:highlight w:val="none"/>
        </w:rPr>
      </w:pPr>
      <w:bookmarkStart w:id="18" w:name="_Toc966"/>
      <w:bookmarkStart w:id="19" w:name="_Toc15500"/>
      <w:bookmarkStart w:id="20" w:name="_Toc14141"/>
      <w:bookmarkStart w:id="21" w:name="_Toc2302"/>
      <w:bookmarkStart w:id="22" w:name="_Toc18930"/>
      <w:bookmarkStart w:id="23" w:name="_Toc18702"/>
      <w:r>
        <w:rPr>
          <w:rFonts w:hint="eastAsia" w:ascii="仿宋_GB2312" w:hAnsi="Times New Roman" w:eastAsia="仿宋_GB2312" w:cs="Times New Roman"/>
          <w:sz w:val="32"/>
          <w:szCs w:val="32"/>
          <w:highlight w:val="none"/>
        </w:rPr>
        <w:t>坚持以习近平新时代中国特色社会主义思想为指导，全面贯彻党的二十大和二十届历次全会精神，深入</w:t>
      </w:r>
      <w:r>
        <w:rPr>
          <w:rFonts w:hint="eastAsia" w:ascii="仿宋_GB2312" w:hAnsi="Times New Roman" w:eastAsia="仿宋_GB2312" w:cs="Times New Roman"/>
          <w:sz w:val="32"/>
          <w:szCs w:val="32"/>
          <w:highlight w:val="none"/>
          <w:lang w:val="en-US" w:eastAsia="zh-CN"/>
        </w:rPr>
        <w:t>学习贯彻</w:t>
      </w:r>
      <w:r>
        <w:rPr>
          <w:rFonts w:hint="eastAsia" w:ascii="仿宋_GB2312" w:hAnsi="Times New Roman" w:eastAsia="仿宋_GB2312" w:cs="Times New Roman"/>
          <w:sz w:val="32"/>
          <w:szCs w:val="32"/>
          <w:highlight w:val="none"/>
        </w:rPr>
        <w:t>习近平总书记关于知识产权工作的重要指示论述，紧紧围绕统筹推进“五位一体”总体布局和协调推进“四个全面”战略布局，完整准确全面贯彻新发展理念，加快构建新发展格局，坚持以服务经济建设为中心，以推动高质量发展为主题，以改革创新为根本动力，</w:t>
      </w:r>
      <w:r>
        <w:rPr>
          <w:rFonts w:hint="eastAsia" w:ascii="仿宋_GB2312" w:hAnsi="Times New Roman" w:eastAsia="仿宋_GB2312" w:cs="Times New Roman"/>
          <w:b w:val="0"/>
          <w:bCs w:val="0"/>
          <w:sz w:val="32"/>
          <w:szCs w:val="32"/>
          <w:highlight w:val="none"/>
        </w:rPr>
        <w:t>锚定</w:t>
      </w:r>
      <w:r>
        <w:rPr>
          <w:rFonts w:hint="eastAsia" w:ascii="仿宋_GB2312" w:hAnsi="Times New Roman" w:eastAsia="仿宋_GB2312" w:cs="Times New Roman"/>
          <w:b w:val="0"/>
          <w:bCs w:val="0"/>
          <w:sz w:val="32"/>
          <w:szCs w:val="32"/>
          <w:highlight w:val="none"/>
          <w:lang w:eastAsia="zh-CN"/>
        </w:rPr>
        <w:t>打造知识产权高地和标杆城市</w:t>
      </w:r>
      <w:r>
        <w:rPr>
          <w:rFonts w:hint="eastAsia" w:ascii="仿宋_GB2312" w:hAnsi="Times New Roman" w:eastAsia="仿宋_GB2312" w:cs="Times New Roman"/>
          <w:b w:val="0"/>
          <w:bCs w:val="0"/>
          <w:sz w:val="32"/>
          <w:szCs w:val="32"/>
          <w:highlight w:val="none"/>
          <w:lang w:val="en-US" w:eastAsia="zh-CN"/>
        </w:rPr>
        <w:t>的目标，</w:t>
      </w:r>
      <w:r>
        <w:rPr>
          <w:rFonts w:hint="eastAsia" w:ascii="仿宋_GB2312" w:hAnsi="Times New Roman" w:eastAsia="仿宋_GB2312" w:cs="Times New Roman"/>
          <w:sz w:val="32"/>
          <w:szCs w:val="32"/>
          <w:highlight w:val="none"/>
        </w:rPr>
        <w:t>加快推动建立高效的知识产权综合管理体制，完善与科技创新相适应的知识产权工作体系，全面提升知识产权创造、保护、运用、管理、服务和交流合作水平，更好支持全面创新、更好促进经济高质量发展、更好服务高水平对外开放，推动科技创新和产业创新深度融合，服务我市建设全球领先的重要的先进制造业中心和具有全球重要影响力的产业科技创新中心，助力建设粤港澳大湾区国际科技创新中心，打造世界级科技创新策源地，以走在前、</w:t>
      </w:r>
      <w:r>
        <w:rPr>
          <w:rFonts w:hint="eastAsia" w:ascii="仿宋_GB2312" w:eastAsia="仿宋_GB2312" w:cs="Times New Roman"/>
          <w:sz w:val="32"/>
          <w:szCs w:val="32"/>
          <w:highlight w:val="none"/>
          <w:lang w:eastAsia="zh-CN"/>
        </w:rPr>
        <w:t>作</w:t>
      </w:r>
      <w:r>
        <w:rPr>
          <w:rFonts w:hint="eastAsia" w:ascii="仿宋_GB2312" w:hAnsi="Times New Roman" w:eastAsia="仿宋_GB2312" w:cs="Times New Roman"/>
          <w:sz w:val="32"/>
          <w:szCs w:val="32"/>
          <w:highlight w:val="none"/>
        </w:rPr>
        <w:t>示范、挑大梁的责任担当，为</w:t>
      </w:r>
      <w:r>
        <w:rPr>
          <w:rFonts w:hint="eastAsia" w:ascii="仿宋_GB2312" w:eastAsia="仿宋_GB2312" w:cs="Times New Roman"/>
          <w:sz w:val="32"/>
          <w:szCs w:val="32"/>
          <w:highlight w:val="none"/>
          <w:lang w:eastAsia="zh-CN"/>
        </w:rPr>
        <w:t>深圳确保</w:t>
      </w:r>
      <w:r>
        <w:rPr>
          <w:rFonts w:hint="eastAsia" w:ascii="仿宋_GB2312" w:hAnsi="Times New Roman" w:eastAsia="仿宋_GB2312" w:cs="Times New Roman"/>
          <w:sz w:val="32"/>
          <w:szCs w:val="32"/>
          <w:highlight w:val="none"/>
        </w:rPr>
        <w:t>率先实现社会主义现代化取得决定性进展提供有力支撑。</w:t>
      </w:r>
    </w:p>
    <w:p>
      <w:pPr>
        <w:pStyle w:val="3"/>
        <w:pageBreakBefore w:val="0"/>
        <w:kinsoku/>
        <w:wordWrap/>
        <w:overflowPunct/>
        <w:topLinePunct w:val="0"/>
        <w:autoSpaceDE/>
        <w:autoSpaceDN/>
        <w:bidi w:val="0"/>
        <w:adjustRightInd/>
        <w:snapToGrid/>
        <w:spacing w:line="579" w:lineRule="exact"/>
        <w:ind w:firstLine="643"/>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（二）基本原则</w:t>
      </w:r>
      <w:bookmarkEnd w:id="18"/>
      <w:bookmarkEnd w:id="19"/>
      <w:bookmarkEnd w:id="20"/>
      <w:bookmarkEnd w:id="21"/>
      <w:bookmarkEnd w:id="22"/>
      <w:bookmarkEnd w:id="23"/>
    </w:p>
    <w:p>
      <w:pPr>
        <w:pageBreakBefore w:val="0"/>
        <w:kinsoku/>
        <w:wordWrap/>
        <w:overflowPunct/>
        <w:topLinePunct w:val="0"/>
        <w:autoSpaceDE/>
        <w:autoSpaceDN/>
        <w:bidi w:val="0"/>
        <w:adjustRightInd/>
        <w:snapToGrid/>
        <w:spacing w:line="579" w:lineRule="exact"/>
        <w:ind w:firstLine="640" w:firstLineChars="200"/>
        <w:textAlignment w:val="auto"/>
        <w:rPr>
          <w:rFonts w:ascii="仿宋_GB2312" w:hAnsi="等线" w:eastAsia="仿宋_GB2312" w:cs="Times New Roman"/>
          <w:color w:val="auto"/>
          <w:sz w:val="32"/>
          <w:szCs w:val="32"/>
          <w:highlight w:val="none"/>
        </w:rPr>
      </w:pPr>
      <w:bookmarkStart w:id="24" w:name="_Toc3592"/>
      <w:bookmarkStart w:id="25" w:name="_Toc6193"/>
      <w:bookmarkStart w:id="26" w:name="_Toc9529"/>
      <w:bookmarkStart w:id="27" w:name="_Toc21413"/>
      <w:bookmarkStart w:id="28" w:name="_Toc17162"/>
      <w:bookmarkStart w:id="29" w:name="_Toc30351"/>
      <w:r>
        <w:rPr>
          <w:rFonts w:hint="eastAsia" w:ascii="Times New Roman" w:hAnsi="Times New Roman" w:eastAsia="仿宋_GB2312" w:cs="Times New Roman"/>
          <w:color w:val="000000"/>
          <w:sz w:val="32"/>
          <w:szCs w:val="32"/>
          <w:highlight w:val="none"/>
        </w:rPr>
        <w:t>——</w:t>
      </w:r>
      <w:r>
        <w:rPr>
          <w:rFonts w:hint="eastAsia" w:ascii="仿宋_GB2312" w:hAnsi="等线" w:eastAsia="仿宋_GB2312" w:cs="Times New Roman"/>
          <w:color w:val="000000"/>
          <w:sz w:val="32"/>
          <w:szCs w:val="32"/>
          <w:highlight w:val="none"/>
        </w:rPr>
        <w:t>坚持党的</w:t>
      </w:r>
      <w:r>
        <w:rPr>
          <w:rFonts w:hint="eastAsia" w:ascii="仿宋_GB2312" w:hAnsi="等线" w:eastAsia="仿宋_GB2312" w:cs="Times New Roman"/>
          <w:color w:val="000000"/>
          <w:sz w:val="32"/>
          <w:szCs w:val="32"/>
          <w:highlight w:val="none"/>
          <w:lang w:val="en-US" w:eastAsia="zh-CN"/>
        </w:rPr>
        <w:t>全面</w:t>
      </w:r>
      <w:r>
        <w:rPr>
          <w:rFonts w:hint="eastAsia" w:ascii="仿宋_GB2312" w:hAnsi="等线" w:eastAsia="仿宋_GB2312" w:cs="Times New Roman"/>
          <w:color w:val="000000"/>
          <w:sz w:val="32"/>
          <w:szCs w:val="32"/>
          <w:highlight w:val="none"/>
        </w:rPr>
        <w:t>领导。坚决维护党中央权威和集中统一领导，把党的领导贯穿知识产权事业发展各方面全过程，以高质量党建引领高质量发展，为知识产权</w:t>
      </w:r>
      <w:r>
        <w:rPr>
          <w:rFonts w:hint="eastAsia" w:ascii="仿宋_GB2312" w:hAnsi="等线" w:eastAsia="仿宋_GB2312" w:cs="Times New Roman"/>
          <w:color w:val="000000"/>
          <w:sz w:val="32"/>
          <w:szCs w:val="32"/>
          <w:highlight w:val="none"/>
          <w:lang w:val="en-US" w:eastAsia="zh-CN"/>
        </w:rPr>
        <w:t>强市</w:t>
      </w:r>
      <w:r>
        <w:rPr>
          <w:rFonts w:hint="eastAsia" w:ascii="仿宋_GB2312" w:hAnsi="等线" w:eastAsia="仿宋_GB2312" w:cs="Times New Roman"/>
          <w:color w:val="000000"/>
          <w:sz w:val="32"/>
          <w:szCs w:val="32"/>
          <w:highlight w:val="none"/>
        </w:rPr>
        <w:t>建设提供根本保证</w:t>
      </w:r>
      <w:r>
        <w:rPr>
          <w:rFonts w:hint="eastAsia" w:ascii="仿宋_GB2312" w:hAnsi="等线" w:eastAsia="仿宋_GB2312" w:cs="Times New Roman"/>
          <w:color w:val="000000"/>
          <w:sz w:val="32"/>
          <w:szCs w:val="32"/>
          <w:highlight w:val="none"/>
          <w:lang w:eastAsia="zh-CN"/>
        </w:rPr>
        <w:t>，</w:t>
      </w:r>
      <w:r>
        <w:rPr>
          <w:rFonts w:hint="eastAsia" w:ascii="仿宋_GB2312" w:hAnsi="等线" w:eastAsia="仿宋_GB2312" w:cs="Times New Roman"/>
          <w:color w:val="000000"/>
          <w:sz w:val="32"/>
          <w:szCs w:val="32"/>
          <w:highlight w:val="none"/>
        </w:rPr>
        <w:t>确保中国式现代化的深圳实践始终沿着正确方向前进。</w:t>
      </w:r>
    </w:p>
    <w:p>
      <w:pPr>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等线" w:eastAsia="仿宋_GB2312" w:cs="Times New Roman"/>
          <w:color w:val="000000"/>
          <w:sz w:val="32"/>
          <w:szCs w:val="32"/>
          <w:highlight w:val="none"/>
        </w:rPr>
      </w:pPr>
      <w:r>
        <w:rPr>
          <w:rFonts w:hint="eastAsia" w:ascii="仿宋_GB2312" w:hAnsi="等线" w:eastAsia="仿宋_GB2312" w:cs="Times New Roman"/>
          <w:color w:val="000000"/>
          <w:sz w:val="32"/>
          <w:szCs w:val="32"/>
          <w:highlight w:val="none"/>
        </w:rPr>
        <w:t>——坚持改革创新</w:t>
      </w:r>
      <w:r>
        <w:rPr>
          <w:rFonts w:hint="eastAsia" w:ascii="仿宋_GB2312" w:hAnsi="等线" w:eastAsia="仿宋_GB2312" w:cs="Times New Roman"/>
          <w:color w:val="000000"/>
          <w:sz w:val="32"/>
          <w:szCs w:val="32"/>
          <w:highlight w:val="none"/>
          <w:lang w:eastAsia="zh-CN"/>
        </w:rPr>
        <w:t>。大力弘扬改革开放精神、特区精神，</w:t>
      </w:r>
      <w:r>
        <w:rPr>
          <w:rFonts w:hint="eastAsia" w:ascii="仿宋_GB2312" w:hAnsi="等线" w:eastAsia="仿宋_GB2312" w:cs="Times New Roman"/>
          <w:color w:val="000000"/>
          <w:sz w:val="32"/>
          <w:szCs w:val="32"/>
          <w:highlight w:val="none"/>
          <w:lang w:val="en-US" w:eastAsia="zh-CN"/>
        </w:rPr>
        <w:t>紧扣高质量发展导向，</w:t>
      </w:r>
      <w:r>
        <w:rPr>
          <w:rFonts w:hint="eastAsia" w:ascii="仿宋_GB2312" w:hAnsi="等线" w:eastAsia="仿宋_GB2312" w:cs="Times New Roman"/>
          <w:color w:val="000000"/>
          <w:sz w:val="32"/>
          <w:szCs w:val="32"/>
          <w:highlight w:val="none"/>
        </w:rPr>
        <w:t>聚焦知识产权重点领域和关键环节，持续推动制度创新和实践探索，</w:t>
      </w:r>
      <w:r>
        <w:rPr>
          <w:rFonts w:hint="eastAsia" w:ascii="仿宋_GB2312" w:hAnsi="等线" w:eastAsia="仿宋_GB2312" w:cs="Times New Roman"/>
          <w:color w:val="000000"/>
          <w:sz w:val="32"/>
          <w:szCs w:val="32"/>
          <w:highlight w:val="none"/>
          <w:lang w:val="en-US" w:eastAsia="zh-CN"/>
        </w:rPr>
        <w:t>在更高层次、更高目标上持续深化知识产权领域改革，</w:t>
      </w:r>
      <w:r>
        <w:rPr>
          <w:rFonts w:hint="eastAsia" w:ascii="仿宋_GB2312" w:hAnsi="等线" w:eastAsia="仿宋_GB2312" w:cs="Times New Roman"/>
          <w:color w:val="000000"/>
          <w:sz w:val="32"/>
          <w:szCs w:val="32"/>
          <w:highlight w:val="none"/>
        </w:rPr>
        <w:t>提高知识产权综合管理效能，</w:t>
      </w:r>
      <w:r>
        <w:rPr>
          <w:rFonts w:hint="eastAsia" w:ascii="仿宋_GB2312" w:hAnsi="等线" w:eastAsia="仿宋_GB2312" w:cs="Times New Roman"/>
          <w:color w:val="000000"/>
          <w:sz w:val="32"/>
          <w:szCs w:val="32"/>
          <w:highlight w:val="none"/>
          <w:lang w:val="en-US" w:eastAsia="zh-CN"/>
        </w:rPr>
        <w:t>不断</w:t>
      </w:r>
      <w:r>
        <w:rPr>
          <w:rFonts w:hint="eastAsia" w:ascii="仿宋_GB2312" w:hAnsi="等线" w:eastAsia="仿宋_GB2312" w:cs="Times New Roman"/>
          <w:color w:val="000000"/>
          <w:sz w:val="32"/>
          <w:szCs w:val="32"/>
          <w:highlight w:val="none"/>
        </w:rPr>
        <w:t>增强知识产权事业发展动力。</w:t>
      </w:r>
    </w:p>
    <w:p>
      <w:pPr>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等线" w:eastAsia="仿宋_GB2312" w:cs="Times New Roman"/>
          <w:color w:val="000000"/>
          <w:sz w:val="32"/>
          <w:szCs w:val="32"/>
          <w:highlight w:val="none"/>
        </w:rPr>
      </w:pPr>
      <w:r>
        <w:rPr>
          <w:rFonts w:hint="eastAsia" w:ascii="仿宋_GB2312" w:hAnsi="等线" w:eastAsia="仿宋_GB2312" w:cs="Times New Roman"/>
          <w:color w:val="000000"/>
          <w:sz w:val="32"/>
          <w:szCs w:val="32"/>
          <w:highlight w:val="none"/>
        </w:rPr>
        <w:t>——</w:t>
      </w:r>
      <w:r>
        <w:rPr>
          <w:rFonts w:hint="eastAsia" w:ascii="仿宋_GB2312" w:hAnsi="等线" w:eastAsia="仿宋_GB2312" w:cs="Times New Roman"/>
          <w:color w:val="000000"/>
          <w:sz w:val="32"/>
          <w:szCs w:val="32"/>
          <w:highlight w:val="none"/>
          <w:lang w:eastAsia="zh-CN"/>
        </w:rPr>
        <w:t>坚持系统观念。充分调动市场和社会各方面积极性，更好发挥政府作用，着力营造一流营商环境和产业生态，构建多元参与、协同联动的知识产权工作格局，</w:t>
      </w:r>
      <w:r>
        <w:rPr>
          <w:rFonts w:hint="eastAsia" w:ascii="仿宋_GB2312" w:hAnsi="等线" w:eastAsia="仿宋_GB2312" w:cs="Times New Roman"/>
          <w:color w:val="000000"/>
          <w:sz w:val="32"/>
          <w:szCs w:val="32"/>
          <w:highlight w:val="none"/>
        </w:rPr>
        <w:t>推动知识产权</w:t>
      </w:r>
      <w:r>
        <w:rPr>
          <w:rFonts w:hint="eastAsia" w:ascii="仿宋_GB2312" w:hAnsi="等线" w:eastAsia="仿宋_GB2312" w:cs="Times New Roman"/>
          <w:color w:val="000000"/>
          <w:sz w:val="32"/>
          <w:szCs w:val="32"/>
          <w:highlight w:val="none"/>
          <w:lang w:eastAsia="zh-CN"/>
        </w:rPr>
        <w:t>在</w:t>
      </w:r>
      <w:r>
        <w:rPr>
          <w:rFonts w:hint="eastAsia" w:ascii="仿宋_GB2312" w:hAnsi="等线" w:eastAsia="仿宋_GB2312" w:cs="Times New Roman"/>
          <w:color w:val="000000"/>
          <w:sz w:val="32"/>
          <w:szCs w:val="32"/>
          <w:highlight w:val="none"/>
        </w:rPr>
        <w:t>经济社会</w:t>
      </w:r>
      <w:r>
        <w:rPr>
          <w:rFonts w:hint="eastAsia" w:ascii="仿宋_GB2312" w:hAnsi="等线" w:eastAsia="仿宋_GB2312" w:cs="Times New Roman"/>
          <w:color w:val="000000"/>
          <w:sz w:val="32"/>
          <w:szCs w:val="32"/>
          <w:highlight w:val="none"/>
          <w:lang w:eastAsia="zh-CN"/>
        </w:rPr>
        <w:t>大局发挥作用，</w:t>
      </w:r>
      <w:r>
        <w:rPr>
          <w:rFonts w:hint="eastAsia" w:ascii="仿宋_GB2312" w:hAnsi="仿宋_GB2312" w:eastAsia="仿宋_GB2312" w:cs="仿宋_GB2312"/>
          <w:color w:val="auto"/>
          <w:sz w:val="32"/>
          <w:szCs w:val="32"/>
          <w:highlight w:val="none"/>
        </w:rPr>
        <w:t>促进各类创新要素向新质生产力加速流动，加快构建新发展格局。</w:t>
      </w:r>
    </w:p>
    <w:p>
      <w:pPr>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等线" w:eastAsia="仿宋_GB2312" w:cs="Times New Roman"/>
          <w:color w:val="000000"/>
          <w:sz w:val="32"/>
          <w:szCs w:val="32"/>
          <w:highlight w:val="none"/>
        </w:rPr>
      </w:pPr>
      <w:r>
        <w:rPr>
          <w:rFonts w:hint="eastAsia" w:ascii="仿宋_GB2312" w:hAnsi="等线" w:eastAsia="仿宋_GB2312" w:cs="Times New Roman"/>
          <w:color w:val="000000"/>
          <w:sz w:val="32"/>
          <w:szCs w:val="32"/>
          <w:highlight w:val="none"/>
        </w:rPr>
        <w:t>——</w:t>
      </w:r>
      <w:r>
        <w:rPr>
          <w:rFonts w:hint="eastAsia" w:ascii="仿宋_GB2312" w:hAnsi="等线" w:eastAsia="仿宋_GB2312" w:cs="Times New Roman"/>
          <w:color w:val="000000"/>
          <w:sz w:val="32"/>
          <w:szCs w:val="32"/>
          <w:highlight w:val="none"/>
          <w:lang w:eastAsia="zh-CN"/>
        </w:rPr>
        <w:t>坚持开放</w:t>
      </w:r>
      <w:r>
        <w:rPr>
          <w:rFonts w:hint="eastAsia" w:ascii="仿宋_GB2312" w:hAnsi="等线" w:eastAsia="仿宋_GB2312" w:cs="Times New Roman"/>
          <w:color w:val="000000"/>
          <w:sz w:val="32"/>
          <w:szCs w:val="32"/>
          <w:highlight w:val="none"/>
          <w:lang w:val="en-US" w:eastAsia="zh-CN"/>
        </w:rPr>
        <w:t>合作</w:t>
      </w:r>
      <w:r>
        <w:rPr>
          <w:rFonts w:hint="eastAsia" w:ascii="仿宋_GB2312" w:hAnsi="等线" w:eastAsia="仿宋_GB2312" w:cs="Times New Roman"/>
          <w:color w:val="000000"/>
          <w:sz w:val="32"/>
          <w:szCs w:val="32"/>
          <w:highlight w:val="none"/>
          <w:lang w:eastAsia="zh-CN"/>
        </w:rPr>
        <w:t>。立足</w:t>
      </w:r>
      <w:r>
        <w:rPr>
          <w:rFonts w:hint="eastAsia" w:ascii="仿宋_GB2312" w:hAnsi="等线" w:eastAsia="仿宋_GB2312" w:cs="Times New Roman"/>
          <w:color w:val="000000"/>
          <w:sz w:val="32"/>
          <w:szCs w:val="32"/>
          <w:highlight w:val="none"/>
          <w:lang w:val="en-US" w:eastAsia="zh-CN"/>
        </w:rPr>
        <w:t>建设知识产权强市和保护高地，</w:t>
      </w:r>
      <w:r>
        <w:rPr>
          <w:rFonts w:hint="eastAsia" w:ascii="仿宋_GB2312" w:hAnsi="等线" w:eastAsia="仿宋_GB2312" w:cs="Times New Roman"/>
          <w:color w:val="000000"/>
          <w:sz w:val="32"/>
          <w:szCs w:val="32"/>
          <w:highlight w:val="none"/>
        </w:rPr>
        <w:t>推动知识产权更大范围、更宽领域、更深层次开放合作，在服务国内国际双循环中</w:t>
      </w:r>
      <w:r>
        <w:rPr>
          <w:rFonts w:hint="eastAsia" w:ascii="仿宋_GB2312" w:hAnsi="等线" w:eastAsia="仿宋_GB2312" w:cs="Times New Roman"/>
          <w:color w:val="000000"/>
          <w:sz w:val="32"/>
          <w:szCs w:val="32"/>
          <w:highlight w:val="none"/>
          <w:lang w:val="en-US" w:eastAsia="zh-CN"/>
        </w:rPr>
        <w:t>建</w:t>
      </w:r>
      <w:r>
        <w:rPr>
          <w:rFonts w:hint="eastAsia" w:ascii="仿宋_GB2312" w:hAnsi="等线" w:eastAsia="仿宋_GB2312" w:cs="Times New Roman"/>
          <w:color w:val="000000"/>
          <w:sz w:val="32"/>
          <w:szCs w:val="32"/>
          <w:highlight w:val="none"/>
        </w:rPr>
        <w:t>基地、</w:t>
      </w:r>
      <w:r>
        <w:rPr>
          <w:rFonts w:hint="eastAsia" w:ascii="仿宋_GB2312" w:hAnsi="等线" w:eastAsia="仿宋_GB2312" w:cs="Times New Roman"/>
          <w:color w:val="000000"/>
          <w:sz w:val="32"/>
          <w:szCs w:val="32"/>
          <w:highlight w:val="none"/>
          <w:lang w:val="en-US" w:eastAsia="zh-CN"/>
        </w:rPr>
        <w:t>设</w:t>
      </w:r>
      <w:r>
        <w:rPr>
          <w:rFonts w:hint="eastAsia" w:ascii="仿宋_GB2312" w:hAnsi="等线" w:eastAsia="仿宋_GB2312" w:cs="Times New Roman"/>
          <w:color w:val="000000"/>
          <w:sz w:val="32"/>
          <w:szCs w:val="32"/>
          <w:highlight w:val="none"/>
        </w:rPr>
        <w:t>平台、</w:t>
      </w:r>
      <w:r>
        <w:rPr>
          <w:rFonts w:hint="eastAsia" w:ascii="仿宋_GB2312" w:hAnsi="等线" w:eastAsia="仿宋_GB2312" w:cs="Times New Roman"/>
          <w:color w:val="000000"/>
          <w:sz w:val="32"/>
          <w:szCs w:val="32"/>
          <w:highlight w:val="none"/>
          <w:lang w:val="en-US" w:eastAsia="zh-CN"/>
        </w:rPr>
        <w:t>开</w:t>
      </w:r>
      <w:r>
        <w:rPr>
          <w:rFonts w:hint="eastAsia" w:ascii="仿宋_GB2312" w:hAnsi="等线" w:eastAsia="仿宋_GB2312" w:cs="Times New Roman"/>
          <w:color w:val="000000"/>
          <w:sz w:val="32"/>
          <w:szCs w:val="32"/>
          <w:highlight w:val="none"/>
        </w:rPr>
        <w:t>通道、作枢纽</w:t>
      </w:r>
      <w:r>
        <w:rPr>
          <w:rFonts w:hint="eastAsia" w:ascii="仿宋_GB2312" w:hAnsi="等线" w:eastAsia="仿宋_GB2312" w:cs="Times New Roman"/>
          <w:color w:val="000000"/>
          <w:sz w:val="32"/>
          <w:szCs w:val="32"/>
          <w:highlight w:val="none"/>
          <w:lang w:eastAsia="zh-CN"/>
        </w:rPr>
        <w:t>，</w:t>
      </w:r>
      <w:r>
        <w:rPr>
          <w:rFonts w:hint="eastAsia" w:ascii="仿宋_GB2312" w:hAnsi="等线" w:eastAsia="仿宋_GB2312" w:cs="Times New Roman"/>
          <w:color w:val="000000"/>
          <w:sz w:val="32"/>
          <w:szCs w:val="32"/>
          <w:highlight w:val="none"/>
        </w:rPr>
        <w:t>更好地运用知识产权促进国际</w:t>
      </w:r>
      <w:r>
        <w:rPr>
          <w:rFonts w:hint="eastAsia" w:ascii="仿宋_GB2312" w:hAnsi="等线" w:eastAsia="仿宋_GB2312" w:cs="Times New Roman"/>
          <w:color w:val="000000"/>
          <w:sz w:val="32"/>
          <w:szCs w:val="32"/>
          <w:highlight w:val="none"/>
          <w:lang w:eastAsia="zh-CN"/>
        </w:rPr>
        <w:t>交流合作，</w:t>
      </w:r>
      <w:r>
        <w:rPr>
          <w:rFonts w:hint="eastAsia" w:ascii="仿宋_GB2312" w:hAnsi="等线" w:eastAsia="仿宋_GB2312" w:cs="Times New Roman"/>
          <w:color w:val="000000"/>
          <w:kern w:val="2"/>
          <w:sz w:val="32"/>
          <w:szCs w:val="32"/>
          <w:highlight w:val="none"/>
          <w:lang w:val="en-US" w:eastAsia="zh-CN" w:bidi="ar"/>
        </w:rPr>
        <w:t>加快建设具有深圳特点和深圳优势、具有更强国际竞争力的现代化产业体系</w:t>
      </w:r>
      <w:r>
        <w:rPr>
          <w:rFonts w:hint="eastAsia" w:ascii="仿宋_GB2312" w:hAnsi="等线" w:eastAsia="仿宋_GB2312" w:cs="Times New Roman"/>
          <w:color w:val="000000"/>
          <w:sz w:val="32"/>
          <w:szCs w:val="32"/>
          <w:highlight w:val="none"/>
        </w:rPr>
        <w:t>。</w:t>
      </w:r>
    </w:p>
    <w:p>
      <w:pPr>
        <w:pStyle w:val="3"/>
        <w:pageBreakBefore w:val="0"/>
        <w:kinsoku/>
        <w:wordWrap/>
        <w:overflowPunct/>
        <w:topLinePunct w:val="0"/>
        <w:autoSpaceDE/>
        <w:autoSpaceDN/>
        <w:bidi w:val="0"/>
        <w:adjustRightInd/>
        <w:snapToGrid/>
        <w:spacing w:line="579" w:lineRule="exact"/>
        <w:ind w:firstLine="643"/>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（三）主要目标</w:t>
      </w:r>
      <w:bookmarkEnd w:id="24"/>
      <w:bookmarkEnd w:id="25"/>
      <w:bookmarkEnd w:id="26"/>
      <w:bookmarkEnd w:id="27"/>
      <w:bookmarkEnd w:id="28"/>
      <w:bookmarkEnd w:id="29"/>
    </w:p>
    <w:p>
      <w:pPr>
        <w:pageBreakBefore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到2030年，高质量建成知识产权保护新高地、知识产权创造标杆城市、知识产权转化运用枢纽、知识产权服务发展示范区、知识产权国际交流与人才集聚区，知识产权综合实力持续保持全国领先，知识产权创新创造生态更加完善，基础研究和原始创新能力显著增强，知识产权保护更加有力，知识产权市场价值更加彰显，知识产权公共服务更加优质，知识产权综合管理体制运行更加高效，知识产权对外合作格局更加优化，知识产权国际竞争力进一步提升，知识产权高地和标杆城市基本建成。</w:t>
      </w:r>
    </w:p>
    <w:p>
      <w:pPr>
        <w:pageBreakBefore w:val="0"/>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仿宋_GB2312" w:cs="Times New Roman"/>
          <w:color w:val="000000"/>
          <w:sz w:val="32"/>
          <w:szCs w:val="32"/>
          <w:highlight w:val="none"/>
          <w:lang w:val="en-US" w:eastAsia="zh-CN"/>
        </w:rPr>
      </w:pPr>
    </w:p>
    <w:p>
      <w:pPr>
        <w:pStyle w:val="4"/>
        <w:jc w:val="center"/>
        <w:rPr>
          <w:rFonts w:cs="Times New Roman"/>
          <w:highlight w:val="none"/>
        </w:rPr>
      </w:pPr>
    </w:p>
    <w:p>
      <w:pPr>
        <w:pStyle w:val="4"/>
        <w:jc w:val="center"/>
        <w:rPr>
          <w:rFonts w:hint="eastAsia" w:eastAsia="宋体" w:cs="Times New Roman"/>
          <w:sz w:val="21"/>
          <w:szCs w:val="21"/>
          <w:highlight w:val="none"/>
          <w:lang w:eastAsia="zh-CN"/>
        </w:rPr>
      </w:pPr>
      <w:r>
        <w:rPr>
          <w:rFonts w:cs="Times New Roman"/>
          <w:sz w:val="21"/>
          <w:szCs w:val="21"/>
          <w:highlight w:val="none"/>
        </w:rPr>
        <w:t xml:space="preserve">表 </w:t>
      </w:r>
      <w:r>
        <w:rPr>
          <w:rFonts w:cs="Times New Roman"/>
          <w:sz w:val="21"/>
          <w:szCs w:val="21"/>
          <w:highlight w:val="none"/>
        </w:rPr>
        <w:fldChar w:fldCharType="begin"/>
      </w:r>
      <w:r>
        <w:rPr>
          <w:rFonts w:cs="Times New Roman"/>
          <w:sz w:val="21"/>
          <w:szCs w:val="21"/>
          <w:highlight w:val="none"/>
        </w:rPr>
        <w:instrText xml:space="preserve"> SEQ 表 \* ARABIC </w:instrText>
      </w:r>
      <w:r>
        <w:rPr>
          <w:rFonts w:cs="Times New Roman"/>
          <w:sz w:val="21"/>
          <w:szCs w:val="21"/>
          <w:highlight w:val="none"/>
        </w:rPr>
        <w:fldChar w:fldCharType="separate"/>
      </w:r>
      <w:r>
        <w:rPr>
          <w:rFonts w:cs="Times New Roman"/>
          <w:sz w:val="21"/>
          <w:szCs w:val="21"/>
          <w:highlight w:val="none"/>
        </w:rPr>
        <w:t>2</w:t>
      </w:r>
      <w:r>
        <w:rPr>
          <w:rFonts w:cs="Times New Roman"/>
          <w:sz w:val="21"/>
          <w:szCs w:val="21"/>
          <w:highlight w:val="none"/>
        </w:rPr>
        <w:fldChar w:fldCharType="end"/>
      </w:r>
      <w:r>
        <w:rPr>
          <w:rFonts w:hint="eastAsia" w:cs="Times New Roman"/>
          <w:sz w:val="21"/>
          <w:szCs w:val="21"/>
          <w:highlight w:val="none"/>
          <w:lang w:eastAsia="zh-CN"/>
        </w:rPr>
        <w:t>“十五五”时期知识产权发展主要指标</w:t>
      </w:r>
    </w:p>
    <w:tbl>
      <w:tblPr>
        <w:tblStyle w:val="1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77"/>
        <w:gridCol w:w="1707"/>
        <w:gridCol w:w="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3244"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指标</w:t>
            </w:r>
          </w:p>
        </w:tc>
        <w:tc>
          <w:tcPr>
            <w:tcW w:w="942"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2030年</w:t>
            </w:r>
          </w:p>
        </w:tc>
        <w:tc>
          <w:tcPr>
            <w:tcW w:w="813"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b/>
                <w:bCs/>
                <w:highlight w:val="none"/>
                <w:lang w:val="en-US" w:eastAsia="zh-CN"/>
              </w:rPr>
            </w:pPr>
            <w:r>
              <w:rPr>
                <w:rFonts w:hint="eastAsia" w:ascii="Times New Roman" w:hAnsi="Times New Roman" w:cs="Times New Roman"/>
                <w:b/>
                <w:bCs/>
                <w:highlight w:val="none"/>
                <w:lang w:val="en-US" w:eastAsia="zh-CN"/>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44" w:type="pct"/>
            <w:noWrap w:val="0"/>
            <w:vAlign w:val="center"/>
          </w:tcPr>
          <w:p>
            <w:pPr>
              <w:keepNext w:val="0"/>
              <w:keepLines w:val="0"/>
              <w:suppressLineNumbers w:val="0"/>
              <w:spacing w:before="0" w:beforeAutospacing="0" w:after="0" w:afterAutospacing="0"/>
              <w:ind w:left="0" w:right="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1.每万人口高价值发明专利拥有量（件）</w:t>
            </w:r>
          </w:p>
        </w:tc>
        <w:tc>
          <w:tcPr>
            <w:tcW w:w="942"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150</w:t>
            </w:r>
          </w:p>
        </w:tc>
        <w:tc>
          <w:tcPr>
            <w:tcW w:w="813"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44" w:type="pct"/>
            <w:noWrap w:val="0"/>
            <w:vAlign w:val="center"/>
          </w:tcPr>
          <w:p>
            <w:pPr>
              <w:keepNext w:val="0"/>
              <w:keepLines w:val="0"/>
              <w:suppressLineNumbers w:val="0"/>
              <w:spacing w:before="0" w:beforeAutospacing="0" w:after="0" w:afterAutospacing="0"/>
              <w:ind w:left="0" w:right="0"/>
              <w:jc w:val="both"/>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2.专利密集型产业增加值占GDP比重（%）</w:t>
            </w:r>
          </w:p>
        </w:tc>
        <w:tc>
          <w:tcPr>
            <w:tcW w:w="942"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33</w:t>
            </w:r>
          </w:p>
        </w:tc>
        <w:tc>
          <w:tcPr>
            <w:tcW w:w="813"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44" w:type="pct"/>
            <w:noWrap w:val="0"/>
            <w:vAlign w:val="center"/>
          </w:tcPr>
          <w:p>
            <w:pPr>
              <w:keepNext w:val="0"/>
              <w:keepLines w:val="0"/>
              <w:suppressLineNumbers w:val="0"/>
              <w:spacing w:before="0" w:beforeAutospacing="0" w:after="0" w:afterAutospacing="0"/>
              <w:ind w:left="0" w:right="0"/>
              <w:jc w:val="both"/>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3.版权产业增加值占GDP比重（%）</w:t>
            </w:r>
          </w:p>
        </w:tc>
        <w:tc>
          <w:tcPr>
            <w:tcW w:w="942"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待预测</w:t>
            </w:r>
          </w:p>
        </w:tc>
        <w:tc>
          <w:tcPr>
            <w:tcW w:w="813"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44" w:type="pct"/>
            <w:noWrap w:val="0"/>
            <w:vAlign w:val="center"/>
          </w:tcPr>
          <w:p>
            <w:pPr>
              <w:keepNext w:val="0"/>
              <w:keepLines w:val="0"/>
              <w:suppressLineNumbers w:val="0"/>
              <w:spacing w:before="0" w:beforeAutospacing="0" w:after="0" w:afterAutospacing="0"/>
              <w:ind w:left="0" w:right="0"/>
              <w:jc w:val="both"/>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4.知识产权使用费进出口累计总额（亿元）</w:t>
            </w:r>
          </w:p>
        </w:tc>
        <w:tc>
          <w:tcPr>
            <w:tcW w:w="942"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3500</w:t>
            </w:r>
          </w:p>
        </w:tc>
        <w:tc>
          <w:tcPr>
            <w:tcW w:w="813" w:type="pct"/>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44" w:type="pct"/>
            <w:noWrap w:val="0"/>
            <w:vAlign w:val="center"/>
          </w:tcPr>
          <w:p>
            <w:pPr>
              <w:keepNext w:val="0"/>
              <w:keepLines w:val="0"/>
              <w:suppressLineNumbers w:val="0"/>
              <w:spacing w:before="0" w:beforeAutospacing="0" w:after="0" w:afterAutospacing="0"/>
              <w:ind w:left="0" w:leftChars="0" w:right="0" w:rightChars="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5.知识产权保护社会满意度（分）</w:t>
            </w:r>
          </w:p>
        </w:tc>
        <w:tc>
          <w:tcPr>
            <w:tcW w:w="942"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w:t>
            </w:r>
            <w:r>
              <w:rPr>
                <w:rFonts w:hint="default" w:ascii="Times New Roman" w:hAnsi="Times New Roman" w:cs="Times New Roman"/>
                <w:highlight w:val="none"/>
                <w:lang w:val="en-US" w:eastAsia="zh-CN"/>
              </w:rPr>
              <w:t>91</w:t>
            </w:r>
          </w:p>
        </w:tc>
        <w:tc>
          <w:tcPr>
            <w:tcW w:w="813"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44" w:type="pct"/>
            <w:noWrap w:val="0"/>
            <w:vAlign w:val="center"/>
          </w:tcPr>
          <w:p>
            <w:pPr>
              <w:keepNext w:val="0"/>
              <w:keepLines w:val="0"/>
              <w:suppressLineNumbers w:val="0"/>
              <w:spacing w:before="0" w:beforeAutospacing="0" w:after="0" w:afterAutospacing="0"/>
              <w:ind w:left="0" w:leftChars="0" w:right="0" w:rightChars="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6.知识产权信息公共服务节点、网点数量（家）</w:t>
            </w:r>
          </w:p>
        </w:tc>
        <w:tc>
          <w:tcPr>
            <w:tcW w:w="942"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highlight w:val="none"/>
                <w:lang w:eastAsia="zh-CN"/>
              </w:rPr>
            </w:pP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80</w:t>
            </w:r>
          </w:p>
        </w:tc>
        <w:tc>
          <w:tcPr>
            <w:tcW w:w="813" w:type="pct"/>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预期性</w:t>
            </w:r>
          </w:p>
        </w:tc>
      </w:tr>
    </w:tbl>
    <w:p>
      <w:pPr>
        <w:pStyle w:val="2"/>
        <w:keepNext w:val="0"/>
        <w:keepLines w:val="0"/>
        <w:pageBreakBefore w:val="0"/>
        <w:kinsoku/>
        <w:wordWrap/>
        <w:overflowPunct/>
        <w:topLinePunct w:val="0"/>
        <w:autoSpaceDE/>
        <w:autoSpaceDN/>
        <w:bidi w:val="0"/>
        <w:adjustRightInd/>
        <w:snapToGrid/>
        <w:spacing w:line="579" w:lineRule="exact"/>
        <w:ind w:left="0" w:leftChars="0" w:right="0" w:firstLine="640"/>
        <w:textAlignment w:val="auto"/>
        <w:rPr>
          <w:rFonts w:ascii="Times New Roman" w:hAnsi="Times New Roman" w:cs="Times New Roman"/>
          <w:highlight w:val="none"/>
        </w:rPr>
      </w:pPr>
      <w:r>
        <w:rPr>
          <w:rFonts w:hint="eastAsia" w:ascii="Times New Roman" w:hAnsi="Times New Roman" w:cs="Times New Roman"/>
          <w:highlight w:val="none"/>
        </w:rPr>
        <w:t>三</w:t>
      </w:r>
      <w:r>
        <w:rPr>
          <w:rFonts w:hint="eastAsia" w:ascii="Times New Roman" w:hAnsi="Times New Roman" w:cs="Times New Roman"/>
          <w:highlight w:val="none"/>
          <w:lang w:val="en"/>
        </w:rPr>
        <w:t>、</w:t>
      </w:r>
      <w:r>
        <w:rPr>
          <w:rFonts w:hint="eastAsia" w:ascii="Times New Roman" w:hAnsi="Times New Roman" w:cs="Times New Roman"/>
          <w:highlight w:val="none"/>
        </w:rPr>
        <w:t>打造知识产权保护新高地</w:t>
      </w:r>
    </w:p>
    <w:p>
      <w:pPr>
        <w:keepNext w:val="0"/>
        <w:keepLines w:val="0"/>
        <w:pageBreakBefore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仿宋_GB2312" w:cs="Times New Roman"/>
          <w:color w:val="000000"/>
          <w:sz w:val="32"/>
          <w:szCs w:val="32"/>
          <w:highlight w:val="none"/>
        </w:rPr>
      </w:pPr>
      <w:r>
        <w:rPr>
          <w:rFonts w:hint="eastAsia" w:ascii="楷体" w:hAnsi="楷体" w:eastAsia="楷体" w:cs="楷体"/>
          <w:b/>
          <w:bCs/>
          <w:i w:val="0"/>
          <w:iCs w:val="0"/>
          <w:caps w:val="0"/>
          <w:color w:val="auto"/>
          <w:spacing w:val="0"/>
          <w:kern w:val="0"/>
          <w:sz w:val="32"/>
          <w:szCs w:val="32"/>
          <w:highlight w:val="none"/>
          <w:lang w:val="en-US" w:eastAsia="zh-CN" w:bidi="ar-SA"/>
        </w:rPr>
        <w:t>1.完善知识产权政策体系。</w:t>
      </w:r>
      <w:r>
        <w:rPr>
          <w:rFonts w:hint="eastAsia" w:ascii="仿宋_GB2312" w:hAnsi="仿宋_GB2312" w:eastAsia="仿宋_GB2312" w:cs="仿宋_GB2312"/>
          <w:color w:val="auto"/>
          <w:sz w:val="32"/>
          <w:szCs w:val="32"/>
          <w:highlight w:val="none"/>
          <w:shd w:val="clear" w:color="auto" w:fill="FFFFFF"/>
          <w:lang w:val="en" w:eastAsia="zh-CN"/>
        </w:rPr>
        <w:t>加强知识产权地方立法，</w:t>
      </w:r>
      <w:r>
        <w:rPr>
          <w:rFonts w:hint="eastAsia" w:ascii="仿宋_GB2312" w:hAnsi="仿宋_GB2312" w:eastAsia="仿宋_GB2312" w:cs="仿宋_GB2312"/>
          <w:color w:val="auto"/>
          <w:sz w:val="32"/>
          <w:szCs w:val="32"/>
          <w:highlight w:val="none"/>
          <w:shd w:val="clear" w:color="auto" w:fill="FFFFFF"/>
          <w:lang w:val="en"/>
        </w:rPr>
        <w:t>推进</w:t>
      </w:r>
      <w:r>
        <w:rPr>
          <w:rFonts w:hint="eastAsia" w:ascii="仿宋_GB2312" w:hAnsi="仿宋_GB2312" w:eastAsia="仿宋_GB2312" w:cs="仿宋_GB2312"/>
          <w:color w:val="auto"/>
          <w:sz w:val="32"/>
          <w:szCs w:val="32"/>
          <w:highlight w:val="none"/>
          <w:shd w:val="clear" w:color="auto" w:fill="FFFFFF"/>
          <w:lang w:val="en" w:eastAsia="zh-CN"/>
        </w:rPr>
        <w:t>《</w:t>
      </w:r>
      <w:r>
        <w:rPr>
          <w:rFonts w:hint="eastAsia" w:ascii="仿宋_GB2312" w:hAnsi="仿宋_GB2312" w:eastAsia="仿宋_GB2312" w:cs="仿宋_GB2312"/>
          <w:color w:val="auto"/>
          <w:sz w:val="32"/>
          <w:szCs w:val="32"/>
          <w:highlight w:val="none"/>
          <w:shd w:val="clear" w:color="auto" w:fill="FFFFFF"/>
          <w:lang w:val="en"/>
        </w:rPr>
        <w:t>深圳经济特区知识产权保护条例</w:t>
      </w:r>
      <w:r>
        <w:rPr>
          <w:rFonts w:hint="eastAsia" w:ascii="仿宋_GB2312" w:hAnsi="仿宋_GB2312" w:eastAsia="仿宋_GB2312" w:cs="仿宋_GB2312"/>
          <w:color w:val="auto"/>
          <w:sz w:val="32"/>
          <w:szCs w:val="32"/>
          <w:highlight w:val="none"/>
          <w:shd w:val="clear" w:color="auto" w:fill="FFFFFF"/>
          <w:lang w:val="en" w:eastAsia="zh-CN"/>
        </w:rPr>
        <w:t>》《深圳经济特区科技创新条例》修订。</w:t>
      </w:r>
      <w:r>
        <w:rPr>
          <w:rFonts w:hint="eastAsia" w:ascii="Times New Roman" w:hAnsi="Times New Roman" w:eastAsia="仿宋_GB2312" w:cs="Times New Roman"/>
          <w:color w:val="000000"/>
          <w:sz w:val="32"/>
          <w:szCs w:val="32"/>
          <w:highlight w:val="none"/>
          <w:lang w:val="en-US" w:eastAsia="zh-CN"/>
        </w:rPr>
        <w:t>建立健全</w:t>
      </w:r>
      <w:r>
        <w:rPr>
          <w:rFonts w:hint="eastAsia" w:ascii="Times New Roman" w:hAnsi="Times New Roman" w:eastAsia="仿宋_GB2312" w:cs="Times New Roman"/>
          <w:color w:val="000000"/>
          <w:sz w:val="32"/>
          <w:szCs w:val="32"/>
          <w:highlight w:val="none"/>
        </w:rPr>
        <w:t>算法、商业方法、</w:t>
      </w:r>
      <w:r>
        <w:rPr>
          <w:rFonts w:hint="eastAsia" w:ascii="仿宋_GB2312" w:hAnsi="仿宋_GB2312" w:eastAsia="仿宋_GB2312" w:cs="Times New Roman"/>
          <w:color w:val="000000"/>
          <w:sz w:val="32"/>
          <w:szCs w:val="32"/>
          <w:highlight w:val="none"/>
          <w:lang w:val="en-US" w:eastAsia="zh-CN"/>
        </w:rPr>
        <w:t>数字技术、</w:t>
      </w:r>
      <w:r>
        <w:rPr>
          <w:rFonts w:hint="eastAsia" w:ascii="Times New Roman" w:hAnsi="Times New Roman" w:eastAsia="仿宋_GB2312" w:cs="Times New Roman"/>
          <w:color w:val="000000"/>
          <w:sz w:val="32"/>
          <w:szCs w:val="32"/>
          <w:highlight w:val="none"/>
        </w:rPr>
        <w:t>人工智能开源生态</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人工智能产出物以及与平台经济发展相关的</w:t>
      </w:r>
      <w:r>
        <w:rPr>
          <w:rFonts w:hint="eastAsia" w:ascii="Times New Roman" w:hAnsi="Times New Roman" w:eastAsia="仿宋_GB2312" w:cs="Times New Roman"/>
          <w:color w:val="000000"/>
          <w:sz w:val="32"/>
          <w:szCs w:val="32"/>
          <w:highlight w:val="none"/>
          <w:lang w:val="en-US" w:eastAsia="zh-CN"/>
        </w:rPr>
        <w:t>知识产权审理规则</w:t>
      </w:r>
      <w:r>
        <w:rPr>
          <w:rFonts w:hint="eastAsia" w:ascii="仿宋_GB2312" w:hAnsi="仿宋_GB2312" w:eastAsia="仿宋_GB2312" w:cs="Times New Roman"/>
          <w:color w:val="000000"/>
          <w:sz w:val="32"/>
          <w:szCs w:val="32"/>
          <w:highlight w:val="none"/>
          <w:lang w:val="en-US" w:eastAsia="zh-CN"/>
        </w:rPr>
        <w:t>，</w:t>
      </w:r>
      <w:r>
        <w:rPr>
          <w:rFonts w:hint="eastAsia" w:ascii="仿宋_GB2312" w:hAnsi="仿宋_GB2312" w:eastAsia="仿宋_GB2312" w:cs="Times New Roman"/>
          <w:color w:val="000000"/>
          <w:sz w:val="32"/>
          <w:szCs w:val="32"/>
          <w:highlight w:val="none"/>
          <w:shd w:val="clear" w:color="auto" w:fill="auto"/>
          <w:lang w:val="en-US" w:eastAsia="zh-CN"/>
        </w:rPr>
        <w:t>加</w:t>
      </w:r>
      <w:r>
        <w:rPr>
          <w:rFonts w:hint="eastAsia" w:ascii="仿宋_GB2312" w:hAnsi="仿宋_GB2312" w:eastAsia="仿宋_GB2312" w:cs="仿宋_GB2312"/>
          <w:color w:val="auto"/>
          <w:sz w:val="32"/>
          <w:szCs w:val="32"/>
          <w:highlight w:val="none"/>
          <w:shd w:val="clear" w:color="auto" w:fill="FFFFFF"/>
          <w:lang w:val="en-US" w:eastAsia="zh-CN"/>
        </w:rPr>
        <w:t>强</w:t>
      </w:r>
      <w:r>
        <w:rPr>
          <w:rFonts w:hint="eastAsia" w:ascii="仿宋_GB2312" w:hAnsi="仿宋_GB2312" w:eastAsia="仿宋_GB2312" w:cs="仿宋_GB2312"/>
          <w:color w:val="auto"/>
          <w:sz w:val="32"/>
          <w:szCs w:val="32"/>
          <w:highlight w:val="none"/>
          <w:shd w:val="clear" w:color="auto" w:fill="FFFFFF"/>
        </w:rPr>
        <w:t>新兴领域新型智力成果保护</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rPr>
        <w:t>聚焦第六代移动通信</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生物制造、具身智能、脑机接口</w:t>
      </w:r>
      <w:r>
        <w:rPr>
          <w:rFonts w:hint="eastAsia" w:ascii="仿宋_GB2312" w:hAnsi="仿宋_GB2312" w:eastAsia="仿宋_GB2312" w:cs="仿宋_GB2312"/>
          <w:color w:val="auto"/>
          <w:sz w:val="32"/>
          <w:szCs w:val="32"/>
          <w:highlight w:val="none"/>
          <w:shd w:val="clear" w:color="auto" w:fill="FFFFFF"/>
        </w:rPr>
        <w:t>等重点产业开展新领域新业态知识产权保护</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rPr>
        <w:t>出台相关领域商业秘密保护标准指引。</w:t>
      </w:r>
      <w:r>
        <w:rPr>
          <w:rFonts w:hint="eastAsia" w:ascii="Times New Roman" w:hAnsi="Times New Roman" w:eastAsia="仿宋_GB2312" w:cs="Times New Roman"/>
          <w:color w:val="000000"/>
          <w:sz w:val="32"/>
          <w:szCs w:val="32"/>
          <w:highlight w:val="none"/>
          <w:lang w:eastAsia="zh-CN"/>
        </w:rPr>
        <w:t>加强</w:t>
      </w:r>
      <w:r>
        <w:rPr>
          <w:rFonts w:hint="eastAsia" w:ascii="Times New Roman" w:hAnsi="Times New Roman" w:eastAsia="仿宋_GB2312" w:cs="Times New Roman"/>
          <w:color w:val="000000"/>
          <w:sz w:val="32"/>
          <w:szCs w:val="32"/>
          <w:highlight w:val="none"/>
        </w:rPr>
        <w:t>体育赛事节目、综艺节目、网络</w:t>
      </w:r>
      <w:r>
        <w:rPr>
          <w:rFonts w:hint="eastAsia" w:ascii="Times New Roman" w:hAnsi="Times New Roman" w:eastAsia="仿宋_GB2312" w:cs="Times New Roman"/>
          <w:color w:val="000000"/>
          <w:sz w:val="32"/>
          <w:szCs w:val="32"/>
          <w:highlight w:val="none"/>
          <w:lang w:val="en-US" w:eastAsia="zh-CN"/>
        </w:rPr>
        <w:t>表演</w:t>
      </w:r>
      <w:r>
        <w:rPr>
          <w:rFonts w:hint="eastAsia" w:ascii="Times New Roman" w:hAnsi="Times New Roman" w:eastAsia="仿宋_GB2312" w:cs="Times New Roman"/>
          <w:color w:val="000000"/>
          <w:sz w:val="32"/>
          <w:szCs w:val="32"/>
          <w:highlight w:val="none"/>
        </w:rPr>
        <w:t>等领域和舞台艺术、美术经典作品</w:t>
      </w:r>
      <w:r>
        <w:rPr>
          <w:rFonts w:hint="eastAsia" w:ascii="Times New Roman" w:hAnsi="Times New Roman" w:eastAsia="仿宋_GB2312" w:cs="Times New Roman"/>
          <w:color w:val="000000"/>
          <w:sz w:val="32"/>
          <w:szCs w:val="32"/>
          <w:highlight w:val="none"/>
          <w:lang w:eastAsia="zh-CN"/>
        </w:rPr>
        <w:t>、影视作品等</w:t>
      </w:r>
      <w:r>
        <w:rPr>
          <w:rFonts w:hint="eastAsia" w:ascii="Times New Roman" w:hAnsi="Times New Roman" w:eastAsia="仿宋_GB2312" w:cs="Times New Roman"/>
          <w:color w:val="000000"/>
          <w:sz w:val="32"/>
          <w:szCs w:val="32"/>
          <w:highlight w:val="none"/>
          <w:lang w:val="en-US" w:eastAsia="zh-CN"/>
        </w:rPr>
        <w:t>版权</w:t>
      </w:r>
      <w:r>
        <w:rPr>
          <w:rFonts w:hint="eastAsia" w:ascii="Times New Roman" w:hAnsi="Times New Roman" w:eastAsia="仿宋_GB2312" w:cs="Times New Roman"/>
          <w:color w:val="000000"/>
          <w:sz w:val="32"/>
          <w:szCs w:val="32"/>
          <w:highlight w:val="none"/>
        </w:rPr>
        <w:t>保护</w:t>
      </w:r>
      <w:r>
        <w:rPr>
          <w:rFonts w:hint="eastAsia"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eastAsia="zh-CN"/>
        </w:rPr>
        <w:t>强化</w:t>
      </w:r>
      <w:r>
        <w:rPr>
          <w:rFonts w:hint="eastAsia" w:ascii="Times New Roman" w:hAnsi="Times New Roman" w:eastAsia="仿宋_GB2312" w:cs="Times New Roman"/>
          <w:color w:val="000000"/>
          <w:sz w:val="32"/>
          <w:szCs w:val="32"/>
          <w:highlight w:val="none"/>
        </w:rPr>
        <w:t>非物质文化遗产、中医药等领域知识产权保护。</w:t>
      </w:r>
    </w:p>
    <w:p>
      <w:pPr>
        <w:keepNext w:val="0"/>
        <w:keepLines w:val="0"/>
        <w:pageBreakBefore w:val="0"/>
        <w:kinsoku/>
        <w:wordWrap/>
        <w:overflowPunct/>
        <w:topLinePunct w:val="0"/>
        <w:autoSpaceDE/>
        <w:autoSpaceDN/>
        <w:bidi w:val="0"/>
        <w:adjustRightInd/>
        <w:snapToGrid/>
        <w:spacing w:line="579" w:lineRule="exact"/>
        <w:ind w:right="23" w:rightChars="11" w:firstLine="642" w:firstLineChars="200"/>
        <w:textAlignment w:val="auto"/>
        <w:outlineLvl w:val="2"/>
        <w:rPr>
          <w:rFonts w:hint="default" w:ascii="仿宋_GB2312" w:hAnsi="仿宋_GB2312" w:eastAsia="仿宋_GB2312" w:cs="仿宋_GB2312"/>
          <w:color w:val="auto"/>
          <w:sz w:val="32"/>
          <w:szCs w:val="32"/>
          <w:highlight w:val="none"/>
          <w:shd w:val="clear" w:color="auto" w:fill="FFFFFF"/>
          <w:lang w:val="en-US" w:eastAsia="zh-CN"/>
        </w:rPr>
      </w:pPr>
      <w:r>
        <w:rPr>
          <w:rFonts w:hint="eastAsia" w:ascii="楷体" w:hAnsi="楷体" w:eastAsia="楷体" w:cs="楷体"/>
          <w:b/>
          <w:bCs/>
          <w:i w:val="0"/>
          <w:iCs w:val="0"/>
          <w:caps w:val="0"/>
          <w:color w:val="auto"/>
          <w:spacing w:val="0"/>
          <w:kern w:val="0"/>
          <w:sz w:val="32"/>
          <w:szCs w:val="32"/>
          <w:highlight w:val="none"/>
          <w:lang w:val="en-US" w:eastAsia="zh-CN" w:bidi="ar-SA"/>
        </w:rPr>
        <w:t>2.</w:t>
      </w:r>
      <w:r>
        <w:rPr>
          <w:rFonts w:hint="eastAsia" w:ascii="楷体" w:hAnsi="楷体" w:eastAsia="楷体" w:cs="楷体"/>
          <w:b/>
          <w:bCs/>
          <w:i w:val="0"/>
          <w:iCs w:val="0"/>
          <w:caps w:val="0"/>
          <w:color w:val="auto"/>
          <w:spacing w:val="0"/>
          <w:kern w:val="0"/>
          <w:sz w:val="32"/>
          <w:szCs w:val="32"/>
          <w:highlight w:val="none"/>
          <w:lang w:val="en" w:eastAsia="zh-CN" w:bidi="ar-SA"/>
        </w:rPr>
        <w:t>加强知识产权司法保护。</w:t>
      </w:r>
      <w:r>
        <w:rPr>
          <w:rFonts w:hint="eastAsia" w:ascii="仿宋_GB2312" w:hAnsi="仿宋_GB2312" w:eastAsia="仿宋_GB2312" w:cs="仿宋_GB2312"/>
          <w:color w:val="auto"/>
          <w:sz w:val="32"/>
          <w:szCs w:val="32"/>
          <w:highlight w:val="none"/>
        </w:rPr>
        <w:t>深化</w:t>
      </w:r>
      <w:r>
        <w:rPr>
          <w:rFonts w:hint="eastAsia" w:ascii="仿宋_GB2312" w:hAnsi="仿宋_GB2312" w:eastAsia="仿宋_GB2312" w:cs="仿宋_GB2312"/>
          <w:color w:val="auto"/>
          <w:sz w:val="32"/>
          <w:szCs w:val="32"/>
          <w:highlight w:val="none"/>
          <w:lang w:eastAsia="zh-CN"/>
        </w:rPr>
        <w:t>知识产权</w:t>
      </w:r>
      <w:r>
        <w:rPr>
          <w:rFonts w:hint="eastAsia" w:ascii="仿宋_GB2312" w:hAnsi="仿宋_GB2312" w:eastAsia="仿宋_GB2312" w:cs="仿宋_GB2312"/>
          <w:color w:val="auto"/>
          <w:sz w:val="32"/>
          <w:szCs w:val="32"/>
          <w:highlight w:val="none"/>
        </w:rPr>
        <w:t>审判体制机制改革，持续优化</w:t>
      </w:r>
      <w:r>
        <w:rPr>
          <w:rFonts w:hint="eastAsia" w:ascii="仿宋_GB2312" w:hAnsi="仿宋_GB2312" w:eastAsia="仿宋_GB2312" w:cs="仿宋_GB2312"/>
          <w:color w:val="auto"/>
          <w:sz w:val="32"/>
          <w:szCs w:val="32"/>
          <w:highlight w:val="none"/>
          <w:lang w:eastAsia="zh-CN"/>
        </w:rPr>
        <w:t>知识产权民事、行政、刑事案件</w:t>
      </w:r>
      <w:r>
        <w:rPr>
          <w:rFonts w:hint="eastAsia" w:ascii="仿宋_GB2312" w:hAnsi="仿宋_GB2312" w:eastAsia="仿宋_GB2312" w:cs="仿宋_GB2312"/>
          <w:color w:val="auto"/>
          <w:sz w:val="32"/>
          <w:szCs w:val="32"/>
          <w:highlight w:val="none"/>
        </w:rPr>
        <w:t>“三合一”</w:t>
      </w:r>
      <w:r>
        <w:rPr>
          <w:rFonts w:hint="eastAsia" w:ascii="仿宋_GB2312" w:hAnsi="仿宋_GB2312" w:eastAsia="仿宋_GB2312" w:cs="仿宋_GB2312"/>
          <w:color w:val="auto"/>
          <w:sz w:val="32"/>
          <w:szCs w:val="32"/>
          <w:highlight w:val="none"/>
          <w:lang w:eastAsia="zh-CN"/>
        </w:rPr>
        <w:t>审判</w:t>
      </w:r>
      <w:r>
        <w:rPr>
          <w:rFonts w:hint="eastAsia" w:ascii="仿宋_GB2312" w:hAnsi="仿宋_GB2312" w:eastAsia="仿宋_GB2312" w:cs="仿宋_GB2312"/>
          <w:color w:val="auto"/>
          <w:sz w:val="32"/>
          <w:szCs w:val="32"/>
          <w:highlight w:val="none"/>
        </w:rPr>
        <w:t>模式</w:t>
      </w:r>
      <w:r>
        <w:rPr>
          <w:rFonts w:hint="eastAsia" w:ascii="仿宋_GB2312" w:hAnsi="仿宋_GB2312" w:eastAsia="仿宋_GB2312" w:cs="仿宋_GB2312"/>
          <w:color w:val="auto"/>
          <w:sz w:val="32"/>
          <w:szCs w:val="32"/>
          <w:highlight w:val="none"/>
          <w:lang w:eastAsia="zh-CN"/>
        </w:rPr>
        <w:t>和程序衔接，完善</w:t>
      </w:r>
      <w:r>
        <w:rPr>
          <w:rFonts w:hint="eastAsia" w:ascii="仿宋_GB2312" w:hAnsi="仿宋_GB2312" w:eastAsia="仿宋_GB2312" w:cs="仿宋_GB2312"/>
          <w:color w:val="auto"/>
          <w:sz w:val="32"/>
          <w:szCs w:val="32"/>
          <w:highlight w:val="none"/>
        </w:rPr>
        <w:t>速裁、快审、精审机制</w:t>
      </w:r>
      <w:r>
        <w:rPr>
          <w:rFonts w:hint="eastAsia" w:ascii="仿宋_GB2312" w:hAnsi="仿宋_GB2312" w:eastAsia="仿宋_GB2312" w:cs="仿宋_GB2312"/>
          <w:color w:val="auto"/>
          <w:sz w:val="32"/>
          <w:szCs w:val="32"/>
          <w:highlight w:val="none"/>
          <w:lang w:eastAsia="zh-CN"/>
        </w:rPr>
        <w:t>。统一知识产权司法裁判标准和法律适用，完善裁判规则。规范适用</w:t>
      </w:r>
      <w:r>
        <w:rPr>
          <w:rFonts w:hint="eastAsia" w:ascii="仿宋_GB2312" w:hAnsi="仿宋_GB2312" w:eastAsia="仿宋_GB2312" w:cs="仿宋_GB2312"/>
          <w:color w:val="auto"/>
          <w:sz w:val="32"/>
          <w:szCs w:val="32"/>
          <w:highlight w:val="none"/>
        </w:rPr>
        <w:t>惩罚性赔偿制度</w:t>
      </w:r>
      <w:r>
        <w:rPr>
          <w:rFonts w:hint="eastAsia" w:ascii="仿宋_GB2312" w:hAnsi="仿宋_GB2312" w:eastAsia="仿宋_GB2312" w:cs="仿宋_GB2312"/>
          <w:color w:val="auto"/>
          <w:sz w:val="32"/>
          <w:szCs w:val="32"/>
          <w:highlight w:val="none"/>
          <w:shd w:val="clear" w:color="auto" w:fill="FFFFFF"/>
          <w:lang w:val="en" w:eastAsia="zh-CN"/>
        </w:rPr>
        <w:t>，</w:t>
      </w:r>
      <w:r>
        <w:rPr>
          <w:rFonts w:hint="eastAsia" w:ascii="仿宋_GB2312" w:hAnsi="仿宋_GB2312" w:eastAsia="仿宋_GB2312" w:cs="仿宋_GB2312"/>
          <w:color w:val="auto"/>
          <w:sz w:val="32"/>
          <w:szCs w:val="32"/>
          <w:highlight w:val="none"/>
          <w:shd w:val="clear" w:color="auto" w:fill="FFFFFF"/>
          <w:lang w:val="en"/>
        </w:rPr>
        <w:t>完善侵权损害赔偿的证据规则、数额计算等裁判标准</w:t>
      </w:r>
      <w:r>
        <w:rPr>
          <w:rFonts w:hint="eastAsia" w:ascii="仿宋_GB2312" w:hAnsi="仿宋_GB2312" w:eastAsia="仿宋_GB2312" w:cs="仿宋_GB2312"/>
          <w:color w:val="auto"/>
          <w:sz w:val="32"/>
          <w:szCs w:val="32"/>
          <w:highlight w:val="none"/>
          <w:shd w:val="clear" w:color="auto" w:fill="FFFFFF"/>
          <w:lang w:val="en" w:eastAsia="zh-CN"/>
        </w:rPr>
        <w:t>，</w:t>
      </w:r>
      <w:r>
        <w:rPr>
          <w:rFonts w:hint="eastAsia" w:ascii="仿宋_GB2312" w:hAnsi="仿宋_GB2312" w:eastAsia="仿宋_GB2312" w:cs="仿宋_GB2312"/>
          <w:color w:val="auto"/>
          <w:sz w:val="32"/>
          <w:szCs w:val="32"/>
          <w:highlight w:val="none"/>
        </w:rPr>
        <w:t>依法</w:t>
      </w:r>
      <w:r>
        <w:rPr>
          <w:rFonts w:hint="eastAsia" w:ascii="仿宋_GB2312" w:hAnsi="仿宋_GB2312" w:eastAsia="仿宋_GB2312" w:cs="仿宋_GB2312"/>
          <w:color w:val="auto"/>
          <w:sz w:val="32"/>
          <w:szCs w:val="32"/>
          <w:highlight w:val="none"/>
          <w:shd w:val="clear" w:color="auto" w:fill="FFFFFF"/>
          <w:lang w:val="en" w:eastAsia="zh-CN"/>
        </w:rPr>
        <w:t>惩处严重侵害知识产权行为</w:t>
      </w:r>
      <w:r>
        <w:rPr>
          <w:rFonts w:hint="eastAsia" w:ascii="仿宋_GB2312" w:hAnsi="仿宋_GB2312" w:eastAsia="仿宋_GB2312" w:cs="仿宋_GB2312"/>
          <w:color w:val="auto"/>
          <w:sz w:val="32"/>
          <w:szCs w:val="32"/>
          <w:highlight w:val="none"/>
          <w:lang w:eastAsia="zh-CN"/>
        </w:rPr>
        <w:t>。防范和打击知识产权领域虚假诉讼、恶意诉讼。对侵犯各种所有制经济主体知识产权的行为实行同责同罪同罚，防止和纠正利用刑事手段干预知识</w:t>
      </w:r>
      <w:r>
        <w:rPr>
          <w:rFonts w:hint="eastAsia" w:ascii="仿宋_GB2312" w:hAnsi="仿宋_GB2312" w:eastAsia="仿宋_GB2312" w:cs="仿宋_GB2312"/>
          <w:color w:val="auto"/>
          <w:sz w:val="32"/>
          <w:szCs w:val="32"/>
          <w:highlight w:val="none"/>
          <w:shd w:val="clear" w:color="auto" w:fill="FFFFFF"/>
          <w:lang w:val="en" w:eastAsia="zh-CN"/>
        </w:rPr>
        <w:t>产权领域经济纠纷。</w:t>
      </w:r>
      <w:r>
        <w:rPr>
          <w:rFonts w:hint="eastAsia" w:ascii="仿宋_GB2312" w:hAnsi="仿宋_GB2312" w:eastAsia="仿宋_GB2312" w:cs="仿宋_GB2312"/>
          <w:color w:val="auto"/>
          <w:sz w:val="32"/>
          <w:szCs w:val="32"/>
          <w:highlight w:val="none"/>
          <w:shd w:val="clear" w:color="auto" w:fill="FFFFFF"/>
          <w:lang w:val="en"/>
        </w:rPr>
        <w:t>完善知识产权案件检察机制，加大知识产权民事行政诉讼监督力度，</w:t>
      </w:r>
      <w:r>
        <w:rPr>
          <w:rFonts w:hint="eastAsia" w:ascii="仿宋_GB2312" w:hAnsi="仿宋_GB2312" w:eastAsia="仿宋_GB2312" w:cs="仿宋_GB2312"/>
          <w:color w:val="auto"/>
          <w:sz w:val="32"/>
          <w:szCs w:val="32"/>
          <w:highlight w:val="none"/>
          <w:shd w:val="clear" w:color="auto" w:fill="FFFFFF"/>
          <w:lang w:val="en" w:eastAsia="zh-CN"/>
        </w:rPr>
        <w:t>积极</w:t>
      </w:r>
      <w:r>
        <w:rPr>
          <w:rFonts w:hint="eastAsia" w:ascii="仿宋_GB2312" w:hAnsi="仿宋_GB2312" w:eastAsia="仿宋_GB2312" w:cs="仿宋_GB2312"/>
          <w:color w:val="auto"/>
          <w:sz w:val="32"/>
          <w:szCs w:val="32"/>
          <w:highlight w:val="none"/>
          <w:shd w:val="clear" w:color="auto" w:fill="FFFFFF"/>
          <w:lang w:val="en-US" w:eastAsia="zh-CN"/>
        </w:rPr>
        <w:t>探索</w:t>
      </w:r>
      <w:r>
        <w:rPr>
          <w:rFonts w:hint="eastAsia" w:ascii="仿宋_GB2312" w:hAnsi="仿宋_GB2312" w:eastAsia="仿宋_GB2312" w:cs="仿宋_GB2312"/>
          <w:color w:val="auto"/>
          <w:sz w:val="32"/>
          <w:szCs w:val="32"/>
          <w:highlight w:val="none"/>
          <w:shd w:val="clear" w:color="auto" w:fill="FFFFFF"/>
          <w:lang w:val="en-US"/>
        </w:rPr>
        <w:t>知识产权检察公益诉讼。</w:t>
      </w:r>
      <w:r>
        <w:rPr>
          <w:rFonts w:hint="eastAsia" w:ascii="仿宋_GB2312" w:hAnsi="仿宋_GB2312" w:eastAsia="仿宋_GB2312" w:cs="仿宋_GB2312"/>
          <w:color w:val="auto"/>
          <w:sz w:val="32"/>
          <w:szCs w:val="32"/>
          <w:highlight w:val="none"/>
          <w:shd w:val="clear" w:color="auto" w:fill="FFFFFF"/>
          <w:lang w:val="en" w:eastAsia="zh-CN"/>
        </w:rPr>
        <w:t>健全商业秘密保护“刑、民、行”衔接机制，强化</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
        </w:rPr>
        <w:t>不正当竞争司法</w:t>
      </w:r>
      <w:r>
        <w:rPr>
          <w:rFonts w:hint="eastAsia" w:ascii="仿宋_GB2312" w:hAnsi="仿宋_GB2312" w:eastAsia="仿宋_GB2312" w:cs="仿宋_GB2312"/>
          <w:color w:val="auto"/>
          <w:sz w:val="32"/>
          <w:szCs w:val="32"/>
          <w:highlight w:val="none"/>
          <w:shd w:val="clear" w:color="auto" w:fill="FFFFFF"/>
          <w:lang w:val="en" w:eastAsia="zh-CN"/>
        </w:rPr>
        <w:t>规制。</w:t>
      </w:r>
      <w:r>
        <w:rPr>
          <w:rFonts w:hint="eastAsia" w:ascii="仿宋_GB2312" w:hAnsi="仿宋_GB2312" w:eastAsia="仿宋_GB2312" w:cs="仿宋_GB2312"/>
          <w:color w:val="auto"/>
          <w:sz w:val="32"/>
          <w:szCs w:val="32"/>
          <w:highlight w:val="none"/>
          <w:shd w:val="clear" w:color="auto" w:fill="FFFFFF"/>
          <w:lang w:val="en-US" w:eastAsia="zh-CN"/>
        </w:rPr>
        <w:t>到2030年，全市</w:t>
      </w:r>
      <w:r>
        <w:rPr>
          <w:rFonts w:hint="eastAsia" w:ascii="仿宋_GB2312" w:hAnsi="仿宋_GB2312" w:eastAsia="仿宋_GB2312" w:cs="仿宋_GB2312"/>
          <w:color w:val="auto"/>
          <w:sz w:val="32"/>
          <w:szCs w:val="32"/>
          <w:highlight w:val="none"/>
          <w:shd w:val="clear" w:color="auto" w:fill="FFFFFF"/>
          <w:lang w:val="en" w:eastAsia="zh-CN"/>
        </w:rPr>
        <w:t>知识产权一审民事案件服判息诉率</w:t>
      </w:r>
      <w:r>
        <w:rPr>
          <w:rFonts w:hint="eastAsia" w:ascii="仿宋_GB2312" w:hAnsi="仿宋_GB2312" w:eastAsia="仿宋_GB2312" w:cs="仿宋_GB2312"/>
          <w:color w:val="auto"/>
          <w:sz w:val="32"/>
          <w:szCs w:val="32"/>
          <w:highlight w:val="none"/>
          <w:shd w:val="clear" w:color="auto" w:fill="FFFFFF"/>
          <w:lang w:val="en-US" w:eastAsia="zh-CN"/>
        </w:rPr>
        <w:t>达92%以上。</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79" w:lineRule="exact"/>
        <w:ind w:left="0" w:leftChars="0" w:right="0" w:firstLine="642" w:firstLineChars="200"/>
        <w:jc w:val="both"/>
        <w:textAlignment w:val="auto"/>
        <w:outlineLvl w:val="2"/>
        <w:rPr>
          <w:rFonts w:hint="eastAsia" w:ascii="仿宋_GB2312" w:hAnsi="仿宋_GB2312" w:eastAsia="仿宋_GB2312" w:cs="仿宋_GB2312"/>
          <w:color w:val="auto"/>
          <w:sz w:val="32"/>
          <w:szCs w:val="32"/>
          <w:highlight w:val="none"/>
          <w:shd w:val="clear" w:color="auto" w:fill="FFFFFF"/>
          <w:lang w:val="en-US" w:eastAsia="zh-CN"/>
        </w:rPr>
      </w:pPr>
      <w:bookmarkStart w:id="30" w:name="_Toc9805"/>
      <w:bookmarkStart w:id="31" w:name="_Toc981"/>
      <w:bookmarkStart w:id="32" w:name="_Toc20542"/>
      <w:bookmarkStart w:id="33" w:name="_Toc25924"/>
      <w:r>
        <w:rPr>
          <w:rFonts w:hint="eastAsia" w:ascii="楷体" w:hAnsi="楷体" w:eastAsia="楷体" w:cs="楷体"/>
          <w:b/>
          <w:bCs/>
          <w:i w:val="0"/>
          <w:iCs w:val="0"/>
          <w:caps w:val="0"/>
          <w:color w:val="auto"/>
          <w:spacing w:val="0"/>
          <w:kern w:val="0"/>
          <w:sz w:val="32"/>
          <w:szCs w:val="32"/>
          <w:highlight w:val="none"/>
          <w:lang w:val="en-US" w:eastAsia="zh-CN" w:bidi="ar-SA"/>
        </w:rPr>
        <w:t>3.</w:t>
      </w:r>
      <w:r>
        <w:rPr>
          <w:rFonts w:hint="eastAsia" w:ascii="楷体" w:hAnsi="楷体" w:eastAsia="楷体" w:cs="楷体"/>
          <w:b/>
          <w:bCs/>
          <w:i w:val="0"/>
          <w:iCs w:val="0"/>
          <w:caps w:val="0"/>
          <w:color w:val="auto"/>
          <w:spacing w:val="0"/>
          <w:kern w:val="0"/>
          <w:sz w:val="32"/>
          <w:szCs w:val="32"/>
          <w:highlight w:val="none"/>
          <w:lang w:val="en" w:eastAsia="zh-CN" w:bidi="ar-SA"/>
        </w:rPr>
        <w:t>强化知识产权行政保护</w:t>
      </w:r>
      <w:bookmarkEnd w:id="30"/>
      <w:bookmarkEnd w:id="31"/>
      <w:bookmarkEnd w:id="32"/>
      <w:bookmarkEnd w:id="33"/>
      <w:r>
        <w:rPr>
          <w:rFonts w:hint="eastAsia" w:ascii="楷体" w:hAnsi="楷体" w:eastAsia="楷体" w:cs="楷体"/>
          <w:b/>
          <w:bCs/>
          <w:i w:val="0"/>
          <w:iCs w:val="0"/>
          <w:caps w:val="0"/>
          <w:color w:val="auto"/>
          <w:spacing w:val="0"/>
          <w:kern w:val="0"/>
          <w:sz w:val="32"/>
          <w:szCs w:val="32"/>
          <w:highlight w:val="none"/>
          <w:lang w:val="en" w:eastAsia="zh-CN" w:bidi="ar-SA"/>
        </w:rPr>
        <w:t>。</w:t>
      </w:r>
      <w:r>
        <w:rPr>
          <w:rFonts w:hint="eastAsia" w:ascii="仿宋_GB2312" w:hAnsi="仿宋_GB2312" w:eastAsia="仿宋_GB2312" w:cs="仿宋_GB2312"/>
          <w:b w:val="0"/>
          <w:bCs w:val="0"/>
          <w:color w:val="auto"/>
          <w:sz w:val="32"/>
          <w:szCs w:val="32"/>
          <w:highlight w:val="none"/>
          <w:shd w:val="clear" w:color="auto" w:fill="FFFFFF"/>
          <w:lang w:val="en-US" w:eastAsia="zh-CN"/>
        </w:rPr>
        <w:t>完善知识产权行政执法指引，优化行政执法自由裁量标准。加强知识产权行政禁令制度实施。</w:t>
      </w:r>
      <w:r>
        <w:rPr>
          <w:rFonts w:hint="eastAsia" w:ascii="仿宋_GB2312" w:hAnsi="Times New Roman" w:eastAsia="仿宋_GB2312" w:cs="Times New Roman"/>
          <w:b w:val="0"/>
          <w:bCs/>
          <w:color w:val="auto"/>
          <w:spacing w:val="0"/>
          <w:sz w:val="32"/>
          <w:szCs w:val="32"/>
          <w:highlight w:val="none"/>
          <w:lang w:val="en-US" w:eastAsia="zh-CN"/>
        </w:rPr>
        <w:t>探索APEC会议等重大活动知识产权保护工作体系。聚焦</w:t>
      </w:r>
      <w:r>
        <w:rPr>
          <w:rFonts w:hint="eastAsia" w:ascii="Times New Roman" w:hAnsi="Times New Roman" w:eastAsia="仿宋_GB2312" w:cs="Times New Roman"/>
          <w:color w:val="000000"/>
          <w:sz w:val="32"/>
          <w:szCs w:val="32"/>
          <w:highlight w:val="none"/>
        </w:rPr>
        <w:t>重点产品、重点领域、重点市场、重点环节</w:t>
      </w:r>
      <w:r>
        <w:rPr>
          <w:rFonts w:hint="eastAsia" w:ascii="Times New Roman" w:hAnsi="Times New Roman" w:eastAsia="仿宋_GB2312" w:cs="Times New Roman"/>
          <w:color w:val="000000"/>
          <w:sz w:val="32"/>
          <w:szCs w:val="32"/>
          <w:highlight w:val="none"/>
          <w:lang w:eastAsia="zh-CN"/>
        </w:rPr>
        <w:t>，持续开展专项行动，</w:t>
      </w:r>
      <w:r>
        <w:rPr>
          <w:rFonts w:hint="eastAsia" w:ascii="Times New Roman" w:hAnsi="Times New Roman" w:eastAsia="仿宋_GB2312" w:cs="Times New Roman"/>
          <w:color w:val="000000"/>
          <w:kern w:val="2"/>
          <w:sz w:val="32"/>
          <w:szCs w:val="32"/>
          <w:lang w:val="en-US" w:eastAsia="zh-CN" w:bidi="ar"/>
        </w:rPr>
        <w:t>加强特殊标识规范使用宣传，</w:t>
      </w:r>
      <w:r>
        <w:rPr>
          <w:rFonts w:hint="eastAsia" w:ascii="Times New Roman" w:hAnsi="Times New Roman" w:eastAsia="仿宋_GB2312" w:cs="Times New Roman"/>
          <w:color w:val="000000"/>
          <w:sz w:val="32"/>
          <w:szCs w:val="32"/>
          <w:highlight w:val="none"/>
          <w:lang w:eastAsia="zh-CN"/>
        </w:rPr>
        <w:t>严厉打击各类侵权假冒违法行为。</w:t>
      </w:r>
      <w:r>
        <w:rPr>
          <w:rFonts w:hint="eastAsia" w:ascii="仿宋_GB2312" w:hAnsi="仿宋_GB2312" w:eastAsia="仿宋_GB2312" w:cs="仿宋_GB2312"/>
          <w:color w:val="auto"/>
          <w:sz w:val="32"/>
          <w:szCs w:val="32"/>
          <w:highlight w:val="none"/>
        </w:rPr>
        <w:t>开展商业秘密案件查办实战实训，严厉查处侵犯商业秘密行为。</w:t>
      </w:r>
      <w:r>
        <w:rPr>
          <w:rFonts w:hint="eastAsia" w:ascii="仿宋_GB2312" w:hAnsi="仿宋_GB2312" w:eastAsia="仿宋_GB2312" w:cs="仿宋_GB2312"/>
          <w:color w:val="auto"/>
          <w:sz w:val="32"/>
          <w:szCs w:val="32"/>
          <w:highlight w:val="none"/>
          <w:shd w:val="clear" w:color="auto" w:fill="FFFFFF"/>
          <w:lang w:val="en"/>
        </w:rPr>
        <w:t>加强地理标志培育和保护，强化地理标志</w:t>
      </w:r>
      <w:r>
        <w:rPr>
          <w:rFonts w:hint="eastAsia" w:ascii="仿宋_GB2312" w:hAnsi="仿宋_GB2312" w:eastAsia="仿宋_GB2312" w:cs="仿宋_GB2312"/>
          <w:color w:val="auto"/>
          <w:sz w:val="32"/>
          <w:szCs w:val="32"/>
          <w:highlight w:val="none"/>
          <w:shd w:val="clear" w:color="auto" w:fill="FFFFFF"/>
          <w:lang w:val="en-US" w:eastAsia="zh-CN"/>
        </w:rPr>
        <w:t>和区域</w:t>
      </w:r>
      <w:r>
        <w:rPr>
          <w:rFonts w:hint="eastAsia" w:ascii="仿宋_GB2312" w:hAnsi="仿宋_GB2312" w:eastAsia="仿宋_GB2312" w:cs="仿宋_GB2312"/>
          <w:color w:val="auto"/>
          <w:sz w:val="32"/>
          <w:szCs w:val="32"/>
          <w:highlight w:val="none"/>
          <w:shd w:val="clear" w:color="auto" w:fill="FFFFFF"/>
          <w:lang w:val="en"/>
        </w:rPr>
        <w:t>品牌建设。</w:t>
      </w:r>
      <w:r>
        <w:rPr>
          <w:rFonts w:hint="eastAsia" w:ascii="仿宋_GB2312" w:hAnsi="仿宋_GB2312" w:eastAsia="仿宋_GB2312" w:cs="仿宋_GB2312"/>
          <w:color w:val="auto"/>
          <w:sz w:val="32"/>
          <w:szCs w:val="32"/>
          <w:highlight w:val="none"/>
          <w:shd w:val="clear" w:color="auto" w:fill="FFFFFF"/>
        </w:rPr>
        <w:t>深化知识产权行政裁决</w:t>
      </w:r>
      <w:r>
        <w:rPr>
          <w:rFonts w:hint="eastAsia" w:ascii="仿宋_GB2312" w:hAnsi="仿宋_GB2312" w:eastAsia="仿宋_GB2312" w:cs="仿宋_GB2312"/>
          <w:color w:val="auto"/>
          <w:sz w:val="32"/>
          <w:szCs w:val="32"/>
          <w:highlight w:val="none"/>
          <w:shd w:val="clear" w:color="auto" w:fill="FFFFFF"/>
          <w:lang w:eastAsia="zh-CN"/>
        </w:rPr>
        <w:t>改革，推进委托开展</w:t>
      </w:r>
      <w:r>
        <w:rPr>
          <w:rFonts w:hint="eastAsia" w:ascii="仿宋_GB2312" w:hAnsi="仿宋_GB2312" w:eastAsia="仿宋_GB2312" w:cs="仿宋_GB2312"/>
          <w:color w:val="auto"/>
          <w:sz w:val="32"/>
          <w:szCs w:val="32"/>
          <w:highlight w:val="none"/>
          <w:shd w:val="clear" w:color="auto" w:fill="FFFFFF"/>
        </w:rPr>
        <w:t>专利侵权纠纷行政裁决</w:t>
      </w:r>
      <w:r>
        <w:rPr>
          <w:rFonts w:hint="eastAsia" w:ascii="仿宋_GB2312" w:hAnsi="仿宋_GB2312" w:eastAsia="仿宋_GB2312" w:cs="仿宋_GB2312"/>
          <w:color w:val="auto"/>
          <w:sz w:val="32"/>
          <w:szCs w:val="32"/>
          <w:highlight w:val="none"/>
          <w:shd w:val="clear" w:color="auto" w:fill="FFFFFF"/>
          <w:lang w:eastAsia="zh-CN"/>
        </w:rPr>
        <w:t>和调解。</w:t>
      </w:r>
      <w:r>
        <w:rPr>
          <w:rFonts w:hint="eastAsia" w:ascii="仿宋_GB2312" w:hAnsi="仿宋_GB2312" w:eastAsia="仿宋_GB2312" w:cs="仿宋_GB2312"/>
          <w:color w:val="auto"/>
          <w:sz w:val="32"/>
          <w:szCs w:val="32"/>
          <w:highlight w:val="none"/>
          <w:shd w:val="clear" w:color="auto" w:fill="FFFFFF"/>
        </w:rPr>
        <w:t>完善行政裁决处理机制</w:t>
      </w:r>
      <w:r>
        <w:rPr>
          <w:rFonts w:hint="eastAsia" w:ascii="仿宋_GB2312" w:hAnsi="仿宋_GB2312" w:eastAsia="仿宋_GB2312" w:cs="仿宋_GB2312"/>
          <w:b w:val="0"/>
          <w:bCs w:val="0"/>
          <w:i w:val="0"/>
          <w:iCs w:val="0"/>
          <w:caps w:val="0"/>
          <w:color w:val="auto"/>
          <w:spacing w:val="0"/>
          <w:kern w:val="44"/>
          <w:sz w:val="32"/>
          <w:szCs w:val="32"/>
          <w:highlight w:val="none"/>
          <w:u w:val="none"/>
          <w:shd w:val="clear" w:color="auto" w:fill="FFFFFF"/>
          <w:lang w:val="en-US" w:eastAsia="zh-CN" w:bidi="ar"/>
        </w:rPr>
        <w:t>。</w:t>
      </w:r>
      <w:r>
        <w:rPr>
          <w:rFonts w:hint="eastAsia" w:ascii="仿宋_GB2312" w:hAnsi="仿宋_GB2312" w:eastAsia="仿宋_GB2312" w:cs="仿宋_GB2312"/>
          <w:color w:val="auto"/>
          <w:sz w:val="32"/>
          <w:szCs w:val="32"/>
          <w:highlight w:val="none"/>
          <w:shd w:val="clear" w:color="auto" w:fill="FFFFFF"/>
          <w:lang w:val="en-US" w:eastAsia="zh-CN"/>
        </w:rPr>
        <w:t>健全</w:t>
      </w:r>
      <w:r>
        <w:rPr>
          <w:rFonts w:hint="eastAsia" w:ascii="仿宋_GB2312" w:hAnsi="仿宋_GB2312" w:eastAsia="仿宋_GB2312" w:cs="仿宋_GB2312"/>
          <w:color w:val="auto"/>
          <w:sz w:val="32"/>
          <w:szCs w:val="32"/>
          <w:highlight w:val="none"/>
          <w:shd w:val="clear" w:color="auto" w:fill="FFFFFF"/>
        </w:rPr>
        <w:t>著作权行政裁决相关制度</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rPr>
        <w:t>探索开展著作权侵权纠纷行政裁决</w:t>
      </w:r>
      <w:r>
        <w:rPr>
          <w:rFonts w:hint="eastAsia" w:ascii="仿宋_GB2312" w:hAnsi="仿宋_GB2312" w:eastAsia="仿宋_GB2312" w:cs="仿宋_GB2312"/>
          <w:color w:val="auto"/>
          <w:sz w:val="32"/>
          <w:szCs w:val="32"/>
          <w:highlight w:val="none"/>
          <w:shd w:val="clear" w:color="auto" w:fill="FFFFFF"/>
          <w:lang w:eastAsia="zh-CN"/>
        </w:rPr>
        <w:t>。</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000000"/>
                <w:highlight w:val="none"/>
              </w:rPr>
            </w:pPr>
            <w:r>
              <w:rPr>
                <w:rFonts w:hint="eastAsia" w:ascii="Times New Roman" w:hAnsi="Times New Roman" w:cs="Times New Roman"/>
                <w:color w:val="000000"/>
                <w:highlight w:val="none"/>
              </w:rPr>
              <w:t>专栏</w:t>
            </w:r>
            <w:r>
              <w:rPr>
                <w:rFonts w:hint="eastAsia" w:ascii="Times New Roman" w:hAnsi="Times New Roman" w:cs="Times New Roman"/>
                <w:color w:val="000000"/>
                <w:highlight w:val="none"/>
                <w:lang w:val="en-US" w:eastAsia="zh-CN"/>
              </w:rPr>
              <w:t>1</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rPr>
              <w:t>专利侵权纠纷行政裁决体系建设工程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000000"/>
                <w:highlight w:val="none"/>
              </w:rPr>
            </w:pPr>
            <w:r>
              <w:rPr>
                <w:rFonts w:hint="eastAsia" w:ascii="Times New Roman" w:hAnsi="Times New Roman" w:cs="Times New Roman"/>
                <w:color w:val="000000"/>
                <w:highlight w:val="none"/>
                <w:lang w:val="en-US" w:eastAsia="zh-CN"/>
              </w:rPr>
              <w:t>健全市级专利侵权纠纷“委托裁决”制度，制定委托专利侵权纠纷行政裁决指引，委托深圳知识产权保护中心在深圳市行政区域范围内开展专利侵权纠纷行政裁决和调解工作，利用“委托裁决”制度对相关专业领域案件实行集中管辖，依法裁决处理深圳市范围内有重大影响的专利侵权纠纷。</w:t>
            </w:r>
            <w:r>
              <w:rPr>
                <w:rFonts w:hint="eastAsia" w:cs="Times New Roman"/>
                <w:color w:val="000000"/>
                <w:highlight w:val="none"/>
                <w:lang w:val="en-US" w:eastAsia="zh-CN"/>
              </w:rPr>
              <w:t>探索</w:t>
            </w:r>
            <w:r>
              <w:rPr>
                <w:rFonts w:hint="eastAsia" w:ascii="Times New Roman" w:hAnsi="Times New Roman" w:cs="Times New Roman"/>
                <w:color w:val="000000"/>
                <w:highlight w:val="none"/>
                <w:lang w:val="en-US" w:eastAsia="zh-CN"/>
              </w:rPr>
              <w:t>建立专利侵权纠纷行政裁决中心或专利侵权纠纷口审庭。积极探索开展标准必要专利行政裁决和行政调解试点工作，探索建立标准必要专利纠纷应对指导机制，妥善处置标准必要专利等侵权纠纷。力争在“十五五”期间，全市办理知识产权行政裁决案件达1000件以上。</w:t>
            </w:r>
          </w:p>
        </w:tc>
      </w:tr>
    </w:tbl>
    <w:p>
      <w:pPr>
        <w:rPr>
          <w:rFonts w:hint="eastAsia" w:ascii="仿宋_GB2312" w:hAnsi="仿宋_GB2312" w:eastAsia="仿宋_GB2312" w:cs="仿宋_GB2312"/>
          <w:color w:val="auto"/>
          <w:sz w:val="32"/>
          <w:szCs w:val="32"/>
          <w:highlight w:val="none"/>
          <w:shd w:val="clear" w:color="auto" w:fill="FFFFFF"/>
          <w:lang w:val="en-US" w:eastAsia="zh-CN"/>
        </w:rPr>
      </w:pP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000000"/>
                <w:highlight w:val="none"/>
              </w:rPr>
            </w:pPr>
            <w:r>
              <w:rPr>
                <w:rFonts w:hint="eastAsia" w:ascii="Times New Roman" w:hAnsi="Times New Roman" w:cs="Times New Roman"/>
                <w:color w:val="000000"/>
                <w:highlight w:val="none"/>
              </w:rPr>
              <w:t>专栏</w:t>
            </w:r>
            <w:r>
              <w:rPr>
                <w:rFonts w:hint="eastAsia" w:ascii="Times New Roman" w:hAnsi="Times New Roman" w:cs="Times New Roman"/>
                <w:color w:val="000000"/>
                <w:highlight w:val="none"/>
                <w:lang w:val="en-US" w:eastAsia="zh-CN"/>
              </w:rPr>
              <w:t>2</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rPr>
              <w:t>商业秘密保护</w:t>
            </w:r>
            <w:r>
              <w:rPr>
                <w:rFonts w:hint="default" w:ascii="Times New Roman" w:hAnsi="Times New Roman" w:cs="Times New Roman"/>
                <w:color w:val="000000"/>
                <w:highlight w:val="none"/>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000000"/>
                <w:highlight w:val="none"/>
              </w:rPr>
            </w:pPr>
            <w:r>
              <w:rPr>
                <w:rFonts w:hint="eastAsia" w:ascii="Times New Roman" w:hAnsi="Times New Roman" w:cs="Times New Roman"/>
                <w:color w:val="000000"/>
                <w:highlight w:val="none"/>
                <w:lang w:val="en-US" w:eastAsia="zh-CN"/>
              </w:rPr>
              <w:t>巩固拓展全国商业秘密保护创新试点工作成效。深化实施“黄金内湾商业秘密保护创新工程”。持续推动各类商业秘密保护服务站点建设，到2030年，聚焦重点产业、重点片区累计建设商业秘密保护工作站100个以上。制定完善商业秘密保护相关规则、指引、标准等，整合专家、服务机构、技术机构等多方资源，优化商业秘密保护公共服务。加强黄金内湾涉外商业秘密保护基地建设，完善涉外商业秘密保护体系，护航企业出海发展。加大商业秘密保护行政执法力度，依法查处侵犯商业秘密的违法行为。</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right="23" w:rightChars="11" w:firstLine="642" w:firstLineChars="200"/>
        <w:textAlignment w:val="auto"/>
        <w:outlineLvl w:val="2"/>
        <w:rPr>
          <w:rFonts w:hint="eastAsia" w:ascii="仿宋_GB2312" w:hAnsi="仿宋_GB2312" w:eastAsia="仿宋_GB2312" w:cs="仿宋_GB2312"/>
          <w:color w:val="auto"/>
          <w:sz w:val="32"/>
          <w:szCs w:val="32"/>
          <w:highlight w:val="none"/>
          <w:shd w:val="clear" w:color="auto" w:fill="FFFFFF"/>
          <w:lang w:val="en" w:eastAsia="zh-CN"/>
        </w:rPr>
      </w:pPr>
      <w:r>
        <w:rPr>
          <w:rFonts w:hint="eastAsia" w:ascii="楷体" w:hAnsi="楷体" w:eastAsia="楷体" w:cs="楷体"/>
          <w:b/>
          <w:bCs/>
          <w:i w:val="0"/>
          <w:iCs w:val="0"/>
          <w:caps w:val="0"/>
          <w:color w:val="auto"/>
          <w:spacing w:val="0"/>
          <w:kern w:val="0"/>
          <w:sz w:val="32"/>
          <w:szCs w:val="32"/>
          <w:highlight w:val="none"/>
          <w:lang w:val="en-US" w:eastAsia="zh-CN" w:bidi="ar-SA"/>
        </w:rPr>
        <w:t>4</w:t>
      </w:r>
      <w:r>
        <w:rPr>
          <w:rFonts w:hint="eastAsia" w:ascii="楷体" w:hAnsi="楷体" w:eastAsia="楷体" w:cs="楷体"/>
          <w:b/>
          <w:bCs/>
          <w:i w:val="0"/>
          <w:iCs w:val="0"/>
          <w:caps w:val="0"/>
          <w:color w:val="auto"/>
          <w:spacing w:val="0"/>
          <w:kern w:val="0"/>
          <w:sz w:val="32"/>
          <w:szCs w:val="32"/>
          <w:highlight w:val="none"/>
          <w:lang w:val="en" w:eastAsia="zh-CN" w:bidi="ar-SA"/>
        </w:rPr>
        <w:t>.构建知识产权协同保护格局。</w:t>
      </w:r>
      <w:r>
        <w:rPr>
          <w:rFonts w:hint="eastAsia" w:ascii="Times New Roman" w:hAnsi="Times New Roman" w:eastAsia="仿宋_GB2312" w:cs="Times New Roman"/>
          <w:color w:val="000000"/>
          <w:sz w:val="32"/>
          <w:szCs w:val="32"/>
        </w:rPr>
        <w:t>健全跨区域、跨部门知识产权行政执法保护协作机制，强化执法司法协作配合与标准统一。</w:t>
      </w:r>
      <w:r>
        <w:rPr>
          <w:rFonts w:hint="eastAsia" w:ascii="仿宋_GB2312" w:hAnsi="仿宋_GB2312" w:eastAsia="仿宋_GB2312" w:cs="仿宋_GB2312"/>
          <w:color w:val="auto"/>
          <w:sz w:val="32"/>
          <w:szCs w:val="32"/>
          <w:highlight w:val="none"/>
          <w:shd w:val="clear" w:color="auto" w:fill="FFFFFF"/>
          <w:lang w:val="en-US" w:eastAsia="zh-CN"/>
        </w:rPr>
        <w:t>高标准建设国家级知识产权保护中心和快速维权中心，建立省、市、区高效协同联动保护机制。</w:t>
      </w:r>
      <w:r>
        <w:rPr>
          <w:rFonts w:hint="eastAsia" w:ascii="仿宋_GB2312" w:hAnsi="仿宋_GB2312" w:eastAsia="仿宋_GB2312" w:cs="仿宋_GB2312"/>
          <w:color w:val="auto"/>
          <w:sz w:val="32"/>
          <w:szCs w:val="32"/>
          <w:highlight w:val="none"/>
          <w:shd w:val="clear" w:color="auto" w:fill="FFFFFF"/>
          <w:lang w:eastAsia="zh-CN"/>
        </w:rPr>
        <w:t>强化纠纷</w:t>
      </w:r>
      <w:r>
        <w:rPr>
          <w:rFonts w:hint="eastAsia" w:ascii="仿宋_GB2312" w:hAnsi="仿宋_GB2312" w:eastAsia="仿宋_GB2312" w:cs="仿宋_GB2312"/>
          <w:color w:val="auto"/>
          <w:sz w:val="32"/>
          <w:szCs w:val="32"/>
          <w:highlight w:val="none"/>
          <w:shd w:val="clear" w:color="auto" w:fill="FFFFFF"/>
        </w:rPr>
        <w:t>诉讼、行政裁决、仲裁、调解</w:t>
      </w:r>
      <w:r>
        <w:rPr>
          <w:rFonts w:hint="eastAsia" w:ascii="仿宋_GB2312" w:hAnsi="仿宋_GB2312" w:eastAsia="仿宋_GB2312" w:cs="仿宋_GB2312"/>
          <w:color w:val="auto"/>
          <w:sz w:val="32"/>
          <w:szCs w:val="32"/>
          <w:highlight w:val="none"/>
          <w:u w:val="none"/>
          <w:shd w:val="clear" w:color="auto" w:fill="FFFFFF"/>
        </w:rPr>
        <w:t>衔接机制</w:t>
      </w:r>
      <w:r>
        <w:rPr>
          <w:rFonts w:hint="eastAsia" w:ascii="仿宋_GB2312" w:hAnsi="仿宋_GB2312" w:eastAsia="仿宋_GB2312" w:cs="仿宋_GB2312"/>
          <w:color w:val="auto"/>
          <w:sz w:val="32"/>
          <w:szCs w:val="32"/>
          <w:highlight w:val="none"/>
          <w:u w:val="none"/>
          <w:shd w:val="clear" w:color="auto" w:fill="FFFFFF"/>
          <w:lang w:val="en-US" w:eastAsia="zh-CN"/>
        </w:rPr>
        <w:t>和</w:t>
      </w:r>
      <w:r>
        <w:rPr>
          <w:rFonts w:hint="eastAsia" w:ascii="仿宋_GB2312" w:hAnsi="仿宋_GB2312" w:eastAsia="仿宋_GB2312" w:cs="仿宋_GB2312"/>
          <w:color w:val="auto"/>
          <w:sz w:val="32"/>
          <w:szCs w:val="32"/>
          <w:highlight w:val="none"/>
          <w:u w:val="none"/>
          <w:shd w:val="clear" w:color="auto" w:fill="FFFFFF"/>
        </w:rPr>
        <w:t>司法禁令、保全等制度</w:t>
      </w:r>
      <w:r>
        <w:rPr>
          <w:rFonts w:hint="eastAsia" w:ascii="仿宋_GB2312" w:hAnsi="仿宋_GB2312" w:eastAsia="仿宋_GB2312" w:cs="仿宋_GB2312"/>
          <w:color w:val="auto"/>
          <w:sz w:val="32"/>
          <w:szCs w:val="32"/>
          <w:highlight w:val="none"/>
          <w:u w:val="none"/>
          <w:shd w:val="clear" w:color="auto" w:fill="FFFFFF"/>
          <w:lang w:eastAsia="zh-CN"/>
        </w:rPr>
        <w:t>，</w:t>
      </w:r>
      <w:r>
        <w:rPr>
          <w:rFonts w:hint="eastAsia" w:ascii="仿宋_GB2312" w:hAnsi="仿宋_GB2312" w:eastAsia="仿宋_GB2312" w:cs="仿宋_GB2312"/>
          <w:color w:val="auto"/>
          <w:sz w:val="32"/>
          <w:szCs w:val="32"/>
          <w:highlight w:val="none"/>
          <w:u w:val="none"/>
          <w:shd w:val="clear" w:color="auto" w:fill="FFFFFF"/>
          <w:lang w:val="en-US" w:eastAsia="zh-CN"/>
        </w:rPr>
        <w:t>营造多元保护的良好生态</w:t>
      </w:r>
      <w:r>
        <w:rPr>
          <w:rFonts w:hint="eastAsia" w:ascii="仿宋_GB2312" w:hAnsi="仿宋_GB2312" w:eastAsia="仿宋_GB2312" w:cs="仿宋_GB2312"/>
          <w:color w:val="auto"/>
          <w:sz w:val="32"/>
          <w:szCs w:val="32"/>
          <w:highlight w:val="none"/>
          <w:shd w:val="clear" w:color="auto" w:fill="FFFFFF"/>
        </w:rPr>
        <w:t>。</w:t>
      </w:r>
      <w:r>
        <w:rPr>
          <w:rFonts w:hint="eastAsia" w:ascii="仿宋_GB2312" w:hAnsi="仿宋_GB2312" w:eastAsia="仿宋_GB2312" w:cs="仿宋_GB2312"/>
          <w:color w:val="auto"/>
          <w:sz w:val="32"/>
          <w:szCs w:val="32"/>
          <w:highlight w:val="none"/>
        </w:rPr>
        <w:t>推动在深常态化开展专利复审无效案件多模</w:t>
      </w:r>
      <w:r>
        <w:rPr>
          <w:rFonts w:hint="eastAsia" w:ascii="仿宋_GB2312" w:hAnsi="仿宋_GB2312" w:eastAsia="仿宋_GB2312" w:cs="仿宋_GB2312"/>
          <w:color w:val="auto"/>
          <w:sz w:val="32"/>
          <w:szCs w:val="32"/>
          <w:highlight w:val="none"/>
          <w:shd w:val="clear" w:color="auto" w:fill="FFFFFF"/>
        </w:rPr>
        <w:t>式审理，完善专利行政确权与民事诉讼案件、行政裁决案件协调审理</w:t>
      </w:r>
      <w:r>
        <w:rPr>
          <w:rFonts w:hint="eastAsia" w:ascii="仿宋_GB2312" w:hAnsi="仿宋_GB2312" w:eastAsia="仿宋_GB2312" w:cs="仿宋_GB2312"/>
          <w:color w:val="auto"/>
          <w:sz w:val="32"/>
          <w:szCs w:val="32"/>
          <w:highlight w:val="none"/>
          <w:shd w:val="clear" w:color="auto" w:fill="FFFFFF"/>
          <w:lang w:eastAsia="zh-CN"/>
        </w:rPr>
        <w:t>。</w:t>
      </w:r>
      <w:r>
        <w:rPr>
          <w:rFonts w:hint="eastAsia" w:ascii="仿宋_GB2312" w:hAnsi="仿宋_GB2312" w:eastAsia="仿宋_GB2312" w:cs="仿宋_GB2312"/>
          <w:color w:val="auto"/>
          <w:sz w:val="32"/>
          <w:szCs w:val="32"/>
          <w:highlight w:val="none"/>
          <w:shd w:val="clear" w:color="auto" w:fill="FFFFFF"/>
          <w:lang w:val="en-US" w:eastAsia="zh-CN"/>
        </w:rPr>
        <w:t>强化行政调解协议司法确认工作机制，加大专利确权与侵权协同衔接配合</w:t>
      </w:r>
      <w:r>
        <w:rPr>
          <w:rFonts w:hint="eastAsia" w:ascii="仿宋_GB2312" w:hAnsi="仿宋_GB2312" w:eastAsia="仿宋_GB2312" w:cs="仿宋_GB2312"/>
          <w:color w:val="auto"/>
          <w:sz w:val="32"/>
          <w:szCs w:val="32"/>
          <w:highlight w:val="none"/>
          <w:shd w:val="clear" w:color="auto" w:fill="FFFFFF"/>
        </w:rPr>
        <w:t>。</w:t>
      </w:r>
      <w:r>
        <w:rPr>
          <w:rFonts w:hint="eastAsia" w:ascii="仿宋_GB2312" w:hAnsi="仿宋_GB2312" w:eastAsia="仿宋_GB2312" w:cs="仿宋_GB2312"/>
          <w:color w:val="auto"/>
          <w:sz w:val="32"/>
          <w:szCs w:val="32"/>
          <w:highlight w:val="none"/>
          <w:shd w:val="clear" w:color="auto" w:fill="FFFFFF"/>
          <w:lang w:val="en-US" w:eastAsia="zh-CN"/>
        </w:rPr>
        <w:t>加强知识产权纠纷仲裁工作，持续提升知识产权仲裁专业化、国际化水平</w:t>
      </w:r>
      <w:r>
        <w:rPr>
          <w:rFonts w:hint="eastAsia" w:ascii="仿宋_GB2312" w:hAnsi="仿宋_GB2312" w:eastAsia="仿宋_GB2312" w:cs="仿宋_GB2312"/>
          <w:color w:val="auto"/>
          <w:sz w:val="32"/>
          <w:szCs w:val="32"/>
          <w:highlight w:val="none"/>
          <w:shd w:val="clear" w:color="auto" w:fill="FFFFFF"/>
        </w:rPr>
        <w:t>。</w:t>
      </w:r>
      <w:r>
        <w:rPr>
          <w:rFonts w:hint="eastAsia" w:ascii="仿宋_GB2312" w:hAnsi="仿宋_GB2312" w:eastAsia="仿宋_GB2312" w:cs="仿宋_GB2312"/>
          <w:color w:val="auto"/>
          <w:sz w:val="32"/>
          <w:szCs w:val="32"/>
          <w:highlight w:val="none"/>
          <w:shd w:val="clear" w:color="auto" w:fill="FFFFFF"/>
          <w:lang w:val="en"/>
        </w:rPr>
        <w:t>完善知识产权鉴定机构名册管理和鉴定流程管理，提高鉴定质量和效率。深入推进</w:t>
      </w:r>
      <w:r>
        <w:rPr>
          <w:rFonts w:hint="eastAsia" w:ascii="仿宋_GB2312" w:hAnsi="仿宋_GB2312" w:eastAsia="仿宋_GB2312" w:cs="仿宋_GB2312"/>
          <w:color w:val="auto"/>
          <w:sz w:val="32"/>
          <w:szCs w:val="32"/>
          <w:highlight w:val="none"/>
          <w:shd w:val="clear" w:color="auto" w:fill="FFFFFF"/>
          <w:lang w:val="en-US" w:eastAsia="zh-CN"/>
        </w:rPr>
        <w:t>知识产权领域</w:t>
      </w:r>
      <w:r>
        <w:rPr>
          <w:rFonts w:hint="eastAsia" w:ascii="仿宋_GB2312" w:hAnsi="仿宋_GB2312" w:eastAsia="仿宋_GB2312" w:cs="仿宋_GB2312"/>
          <w:color w:val="auto"/>
          <w:sz w:val="32"/>
          <w:szCs w:val="32"/>
          <w:highlight w:val="none"/>
          <w:shd w:val="clear" w:color="auto" w:fill="FFFFFF"/>
          <w:lang w:val="en"/>
        </w:rPr>
        <w:t>分级分类信用监管，实施知识产权合规承诺制度</w:t>
      </w:r>
      <w:r>
        <w:rPr>
          <w:rFonts w:hint="eastAsia" w:ascii="仿宋_GB2312" w:hAnsi="仿宋_GB2312" w:eastAsia="仿宋_GB2312" w:cs="仿宋_GB2312"/>
          <w:color w:val="auto"/>
          <w:sz w:val="32"/>
          <w:szCs w:val="32"/>
          <w:highlight w:val="none"/>
          <w:shd w:val="clear" w:color="auto" w:fill="FFFFFF"/>
          <w:lang w:val="en" w:eastAsia="zh-CN"/>
        </w:rPr>
        <w:t>。</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000000"/>
                <w:highlight w:val="none"/>
              </w:rPr>
            </w:pPr>
            <w:r>
              <w:rPr>
                <w:rFonts w:hint="eastAsia" w:ascii="Times New Roman" w:hAnsi="Times New Roman" w:cs="Times New Roman"/>
                <w:color w:val="000000"/>
                <w:highlight w:val="none"/>
              </w:rPr>
              <w:t>专栏</w:t>
            </w:r>
            <w:r>
              <w:rPr>
                <w:rFonts w:hint="eastAsia" w:ascii="Times New Roman" w:hAnsi="Times New Roman" w:cs="Times New Roman"/>
                <w:color w:val="000000"/>
                <w:highlight w:val="none"/>
                <w:lang w:val="en-US" w:eastAsia="zh-CN"/>
              </w:rPr>
              <w:t>3</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rPr>
              <w:t>知识产权保护平台建设工程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000000"/>
                <w:highlight w:val="none"/>
              </w:rPr>
            </w:pPr>
            <w:r>
              <w:rPr>
                <w:rFonts w:hint="eastAsia" w:ascii="Times New Roman" w:hAnsi="Times New Roman" w:cs="Times New Roman"/>
                <w:color w:val="000000"/>
                <w:highlight w:val="none"/>
                <w:lang w:val="en-US" w:eastAsia="zh-CN"/>
              </w:rPr>
              <w:t>高标准建设全市首家国家级知识产权快速维权中心，为时尚设计等重点产业提供快速确权、预审、维权等一体化服务。强化深圳市知识产权调解联盟建设，构建人民调解、行政调解、司法调解、商事调解“四调联动”纠纷化解新模式，全市知识产权调解组织累计达20家以上，完成知识产权纠纷调解案件不少于8000件。加强中国（深圳）知识产权仲裁中心、福田区河套国际商事调解中心等机构建设，开展深港知识产权仲裁、调解跨境服务，探索知识产权案件“香港调解+深圳仲裁”和“深圳调解+香港仲裁”纠纷解决模式。深化前海知识产权“一站式”协同保护平台建设。引导在重点行业、园区、市场建设知识产权保护工作站，全市知识产权保护工作站达200家以上。</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right="23" w:rightChars="11" w:firstLine="642" w:firstLineChars="200"/>
        <w:textAlignment w:val="auto"/>
        <w:outlineLvl w:val="2"/>
        <w:rPr>
          <w:rFonts w:hint="eastAsia" w:ascii="仿宋_GB2312" w:hAnsi="仿宋_GB2312" w:eastAsia="仿宋_GB2312" w:cs="仿宋_GB2312"/>
          <w:color w:val="auto"/>
          <w:sz w:val="32"/>
          <w:szCs w:val="32"/>
          <w:highlight w:val="none"/>
          <w:shd w:val="clear" w:color="auto" w:fill="FFFFFF"/>
          <w:lang w:val="en" w:eastAsia="zh-CN"/>
        </w:rPr>
      </w:pPr>
      <w:r>
        <w:rPr>
          <w:rFonts w:hint="eastAsia" w:ascii="楷体" w:hAnsi="楷体" w:eastAsia="楷体" w:cs="楷体"/>
          <w:b/>
          <w:bCs/>
          <w:i w:val="0"/>
          <w:iCs w:val="0"/>
          <w:caps w:val="0"/>
          <w:color w:val="auto"/>
          <w:spacing w:val="0"/>
          <w:kern w:val="0"/>
          <w:sz w:val="32"/>
          <w:szCs w:val="32"/>
          <w:highlight w:val="none"/>
          <w:lang w:val="en-US" w:eastAsia="zh-CN" w:bidi="ar-SA"/>
        </w:rPr>
        <w:t>5.加强涉外知识产权保护。</w:t>
      </w:r>
      <w:r>
        <w:rPr>
          <w:rFonts w:hint="default" w:ascii="Times New Roman" w:hAnsi="Times New Roman" w:eastAsia="仿宋_GB2312" w:cs="Times New Roman"/>
          <w:kern w:val="2"/>
          <w:sz w:val="32"/>
          <w:szCs w:val="32"/>
          <w:lang w:val="en" w:eastAsia="zh-CN" w:bidi="ar-SA"/>
        </w:rPr>
        <w:t>依托深圳市企业出海法律服务和查明中心，赋能企业涉外知识产权保护</w:t>
      </w:r>
      <w:r>
        <w:rPr>
          <w:rFonts w:hint="eastAsia" w:ascii="Times New Roman" w:hAnsi="Times New Roman" w:eastAsia="仿宋_GB2312" w:cs="Times New Roman"/>
          <w:kern w:val="2"/>
          <w:sz w:val="32"/>
          <w:szCs w:val="32"/>
          <w:lang w:val="en" w:eastAsia="zh-CN" w:bidi="ar-SA"/>
        </w:rPr>
        <w:t>。</w:t>
      </w:r>
      <w:r>
        <w:rPr>
          <w:rFonts w:hint="eastAsia" w:ascii="仿宋_GB2312" w:hAnsi="仿宋_GB2312" w:eastAsia="仿宋_GB2312" w:cs="仿宋_GB2312"/>
          <w:b w:val="0"/>
          <w:bCs w:val="0"/>
          <w:color w:val="auto"/>
          <w:sz w:val="32"/>
          <w:szCs w:val="32"/>
          <w:highlight w:val="none"/>
          <w:shd w:val="clear" w:color="auto" w:fill="FFFFFF"/>
          <w:lang w:val="en" w:eastAsia="zh-CN"/>
        </w:rPr>
        <w:t>妥善审理涉外知识产权案件，依法保障各类经营主体平等待遇，</w:t>
      </w:r>
      <w:r>
        <w:rPr>
          <w:rFonts w:hint="eastAsia" w:ascii="仿宋_GB2312" w:hAnsi="仿宋_GB2312" w:eastAsia="仿宋_GB2312" w:cs="仿宋_GB2312"/>
          <w:b w:val="0"/>
          <w:bCs w:val="0"/>
          <w:color w:val="auto"/>
          <w:sz w:val="32"/>
          <w:szCs w:val="32"/>
          <w:highlight w:val="none"/>
          <w:shd w:val="clear" w:color="auto" w:fill="FFFFFF"/>
          <w:lang w:val="en-US" w:eastAsia="zh-CN"/>
        </w:rPr>
        <w:t>打造国际知识产权纠纷解决优选地</w:t>
      </w:r>
      <w:r>
        <w:rPr>
          <w:rFonts w:hint="eastAsia" w:ascii="仿宋_GB2312" w:hAnsi="仿宋_GB2312" w:eastAsia="仿宋_GB2312" w:cs="仿宋_GB2312"/>
          <w:b w:val="0"/>
          <w:bCs w:val="0"/>
          <w:color w:val="auto"/>
          <w:sz w:val="32"/>
          <w:szCs w:val="32"/>
          <w:highlight w:val="none"/>
          <w:shd w:val="clear" w:color="auto" w:fill="FFFFFF"/>
          <w:lang w:val="en" w:eastAsia="zh-CN"/>
        </w:rPr>
        <w:t>。健全与国际规则相衔接的知识产权保护机制，</w:t>
      </w:r>
      <w:r>
        <w:rPr>
          <w:rFonts w:hint="eastAsia" w:ascii="仿宋_GB2312" w:hAnsi="仿宋_GB2312" w:eastAsia="仿宋_GB2312" w:cs="仿宋_GB2312"/>
          <w:color w:val="auto"/>
          <w:sz w:val="32"/>
          <w:szCs w:val="32"/>
          <w:highlight w:val="none"/>
          <w:shd w:val="clear" w:color="auto" w:fill="FFFFFF"/>
          <w:lang w:val="en"/>
        </w:rPr>
        <w:t>发挥海外知识产权纠纷应对指导工作专班作用，</w:t>
      </w:r>
      <w:r>
        <w:rPr>
          <w:rFonts w:hint="eastAsia" w:ascii="仿宋_GB2312" w:hAnsi="仿宋_GB2312" w:eastAsia="仿宋_GB2312" w:cs="仿宋_GB2312"/>
          <w:color w:val="auto"/>
          <w:sz w:val="32"/>
          <w:szCs w:val="32"/>
          <w:highlight w:val="none"/>
          <w:shd w:val="clear" w:color="auto" w:fill="FFFFFF"/>
          <w:lang w:val="en" w:eastAsia="zh-CN"/>
        </w:rPr>
        <w:t>建立知识产权、</w:t>
      </w:r>
      <w:r>
        <w:rPr>
          <w:rFonts w:hint="eastAsia" w:ascii="仿宋_GB2312" w:hAnsi="仿宋_GB2312" w:eastAsia="仿宋_GB2312" w:cs="仿宋_GB2312"/>
          <w:color w:val="auto"/>
          <w:sz w:val="32"/>
          <w:szCs w:val="32"/>
          <w:highlight w:val="none"/>
          <w:shd w:val="clear" w:color="auto" w:fill="FFFFFF"/>
          <w:lang w:val="en"/>
        </w:rPr>
        <w:t>商务、贸促、海关等相关部门定期会商</w:t>
      </w:r>
      <w:r>
        <w:rPr>
          <w:rFonts w:hint="eastAsia" w:ascii="仿宋_GB2312" w:hAnsi="仿宋_GB2312" w:eastAsia="仿宋_GB2312" w:cs="仿宋_GB2312"/>
          <w:color w:val="auto"/>
          <w:sz w:val="32"/>
          <w:szCs w:val="32"/>
          <w:highlight w:val="none"/>
          <w:shd w:val="clear" w:color="auto" w:fill="FFFFFF"/>
          <w:lang w:val="en" w:eastAsia="zh-CN"/>
        </w:rPr>
        <w:t>制度</w:t>
      </w:r>
      <w:r>
        <w:rPr>
          <w:rFonts w:hint="eastAsia" w:ascii="仿宋_GB2312" w:hAnsi="仿宋_GB2312" w:eastAsia="仿宋_GB2312" w:cs="仿宋_GB2312"/>
          <w:color w:val="auto"/>
          <w:sz w:val="32"/>
          <w:szCs w:val="32"/>
          <w:highlight w:val="none"/>
          <w:shd w:val="clear" w:color="auto" w:fill="FFFFFF"/>
          <w:lang w:val="en"/>
        </w:rPr>
        <w:t>，</w:t>
      </w:r>
      <w:r>
        <w:rPr>
          <w:rFonts w:hint="eastAsia" w:ascii="仿宋_GB2312" w:hAnsi="仿宋_GB2312" w:eastAsia="仿宋_GB2312" w:cs="仿宋_GB2312"/>
          <w:color w:val="auto"/>
          <w:sz w:val="32"/>
          <w:szCs w:val="32"/>
          <w:highlight w:val="none"/>
          <w:shd w:val="clear" w:color="auto" w:fill="FFFFFF"/>
          <w:lang w:val="en" w:eastAsia="zh-CN"/>
        </w:rPr>
        <w:t>完善</w:t>
      </w:r>
      <w:r>
        <w:rPr>
          <w:rFonts w:hint="eastAsia" w:ascii="仿宋_GB2312" w:hAnsi="仿宋_GB2312" w:eastAsia="仿宋_GB2312" w:cs="仿宋_GB2312"/>
          <w:color w:val="auto"/>
          <w:sz w:val="32"/>
          <w:szCs w:val="32"/>
          <w:highlight w:val="none"/>
          <w:shd w:val="clear" w:color="auto" w:fill="FFFFFF"/>
          <w:lang w:val="en"/>
        </w:rPr>
        <w:t>市区联动指导、案件分级分类、重大案件会商的海外知识产权纠纷应对指导</w:t>
      </w:r>
      <w:r>
        <w:rPr>
          <w:rFonts w:hint="eastAsia" w:ascii="仿宋_GB2312" w:hAnsi="仿宋_GB2312" w:eastAsia="仿宋_GB2312" w:cs="仿宋_GB2312"/>
          <w:color w:val="auto"/>
          <w:sz w:val="32"/>
          <w:szCs w:val="32"/>
          <w:highlight w:val="none"/>
          <w:shd w:val="clear" w:color="auto" w:fill="FFFFFF"/>
          <w:lang w:val="en-US" w:eastAsia="zh-CN"/>
        </w:rPr>
        <w:t>工作体系</w:t>
      </w:r>
      <w:r>
        <w:rPr>
          <w:rFonts w:hint="eastAsia" w:ascii="仿宋_GB2312" w:hAnsi="仿宋_GB2312" w:eastAsia="仿宋_GB2312" w:cs="仿宋_GB2312"/>
          <w:color w:val="auto"/>
          <w:sz w:val="32"/>
          <w:szCs w:val="32"/>
          <w:highlight w:val="none"/>
          <w:shd w:val="clear" w:color="auto" w:fill="FFFFFF"/>
          <w:lang w:val="en" w:eastAsia="zh-CN"/>
        </w:rPr>
        <w:t>。加大对重点国家（地区）信息收集，发布更多环境概览和国别指南，强化涉外知识产权贸易调查、诉讼等纠纷的监测预警，</w:t>
      </w:r>
      <w:r>
        <w:rPr>
          <w:rFonts w:hint="eastAsia" w:ascii="仿宋_GB2312" w:hAnsi="仿宋_GB2312" w:eastAsia="仿宋_GB2312" w:cs="仿宋_GB2312"/>
          <w:color w:val="auto"/>
          <w:sz w:val="32"/>
          <w:szCs w:val="32"/>
          <w:highlight w:val="none"/>
          <w:shd w:val="clear" w:color="auto" w:fill="FFFFFF"/>
          <w:lang w:val="en"/>
        </w:rPr>
        <w:t>建立重点企业海外知识产权诉讼档案，</w:t>
      </w:r>
      <w:r>
        <w:rPr>
          <w:rFonts w:hint="eastAsia" w:ascii="仿宋_GB2312" w:hAnsi="仿宋_GB2312" w:eastAsia="仿宋_GB2312" w:cs="仿宋_GB2312"/>
          <w:color w:val="auto"/>
          <w:sz w:val="32"/>
          <w:szCs w:val="32"/>
          <w:highlight w:val="none"/>
          <w:shd w:val="clear" w:color="auto" w:fill="FFFFFF"/>
          <w:lang w:val="en" w:eastAsia="zh-CN"/>
        </w:rPr>
        <w:t>加强对重点产业和重点国家（地区）的纠纷应对指导力度。鼓励保险机构按照市场化原则开展涉外知识产权相关保险业务，</w:t>
      </w:r>
      <w:r>
        <w:rPr>
          <w:rFonts w:hint="eastAsia" w:ascii="仿宋_GB2312" w:hAnsi="仿宋_GB2312" w:eastAsia="仿宋_GB2312" w:cs="仿宋_GB2312"/>
          <w:color w:val="auto"/>
          <w:sz w:val="32"/>
          <w:szCs w:val="32"/>
          <w:highlight w:val="none"/>
          <w:shd w:val="clear" w:color="auto" w:fill="FFFFFF"/>
          <w:lang w:val="en"/>
        </w:rPr>
        <w:t>鼓励社会资本设立海外</w:t>
      </w:r>
      <w:r>
        <w:rPr>
          <w:rFonts w:hint="eastAsia" w:ascii="仿宋_GB2312" w:hAnsi="仿宋_GB2312" w:eastAsia="仿宋_GB2312" w:cs="仿宋_GB2312"/>
          <w:color w:val="auto"/>
          <w:sz w:val="32"/>
          <w:szCs w:val="32"/>
          <w:highlight w:val="none"/>
          <w:shd w:val="clear" w:color="auto" w:fill="FFFFFF"/>
          <w:lang w:val="en" w:eastAsia="zh-CN"/>
        </w:rPr>
        <w:t>维权</w:t>
      </w:r>
      <w:r>
        <w:rPr>
          <w:rFonts w:hint="eastAsia" w:ascii="仿宋_GB2312" w:hAnsi="仿宋_GB2312" w:eastAsia="仿宋_GB2312" w:cs="仿宋_GB2312"/>
          <w:color w:val="auto"/>
          <w:sz w:val="32"/>
          <w:szCs w:val="32"/>
          <w:highlight w:val="none"/>
          <w:shd w:val="clear" w:color="auto" w:fill="FFFFFF"/>
          <w:lang w:val="en"/>
        </w:rPr>
        <w:t>援助基金</w:t>
      </w:r>
      <w:r>
        <w:rPr>
          <w:rFonts w:hint="eastAsia" w:ascii="仿宋_GB2312" w:hAnsi="仿宋_GB2312" w:eastAsia="仿宋_GB2312" w:cs="仿宋_GB2312"/>
          <w:color w:val="auto"/>
          <w:sz w:val="32"/>
          <w:szCs w:val="32"/>
          <w:highlight w:val="none"/>
          <w:shd w:val="clear" w:color="auto" w:fill="FFFFFF"/>
          <w:lang w:val="en" w:eastAsia="zh-CN"/>
        </w:rPr>
        <w:t>。</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000000"/>
                <w:highlight w:val="none"/>
              </w:rPr>
            </w:pPr>
            <w:r>
              <w:rPr>
                <w:rFonts w:hint="eastAsia" w:ascii="Times New Roman" w:hAnsi="Times New Roman" w:cs="Times New Roman"/>
                <w:color w:val="000000"/>
                <w:highlight w:val="none"/>
              </w:rPr>
              <w:t>专栏</w:t>
            </w:r>
            <w:r>
              <w:rPr>
                <w:rFonts w:hint="eastAsia" w:ascii="Times New Roman" w:hAnsi="Times New Roman" w:cs="Times New Roman"/>
                <w:color w:val="000000"/>
                <w:highlight w:val="none"/>
                <w:lang w:val="en-US" w:eastAsia="zh-CN"/>
              </w:rPr>
              <w:t>4</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rPr>
              <w:t>知识产权海外维权援助工程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firstLine="420" w:firstLineChars="200"/>
              <w:rPr>
                <w:rFonts w:hint="eastAsia" w:ascii="Times New Roman" w:hAnsi="Times New Roman" w:cs="Times New Roman"/>
                <w:color w:val="000000"/>
                <w:highlight w:val="none"/>
                <w:lang w:val="en-US" w:eastAsia="zh-CN"/>
              </w:rPr>
            </w:pPr>
            <w:r>
              <w:rPr>
                <w:rFonts w:hint="eastAsia" w:ascii="Times New Roman" w:hAnsi="Times New Roman" w:cs="Times New Roman"/>
                <w:color w:val="000000"/>
                <w:highlight w:val="none"/>
                <w:lang w:val="en-US" w:eastAsia="zh-CN"/>
              </w:rPr>
              <w:t>加强海外知识产权风险预警。深化海外知识产权纠纷应对指导深圳工作平台建设，对重点高风险企业开展“一对一”服务，定期向公众发布海外知识产权风险预警。“十五五”期间，监测海外知识产权案件达1500件以上，指导涉案企业达1500家以上，为25000家以上企业提供海外知识产权咨询和培训服务。</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000000"/>
                <w:highlight w:val="none"/>
              </w:rPr>
            </w:pPr>
            <w:r>
              <w:rPr>
                <w:rFonts w:hint="eastAsia" w:ascii="Times New Roman" w:hAnsi="Times New Roman" w:cs="Times New Roman"/>
                <w:color w:val="000000"/>
                <w:highlight w:val="none"/>
                <w:lang w:val="en-US" w:eastAsia="zh-CN"/>
              </w:rPr>
              <w:t>拓展海外知识产权保护网络。支持咨询评估、法律服务、会计审计、信用评级、调解仲裁等专业服务机构拓展海外服务网络。高效运行深圳海外知识产权保护德国、新加坡、巴西工作站，探索在重点国家和地区设立更多保护网点，提供定制化监测和本地化指导服务，到2030年，全市海外知识产权保护工作站达5家以上。</w:t>
            </w:r>
          </w:p>
        </w:tc>
      </w:tr>
    </w:tbl>
    <w:p>
      <w:pPr>
        <w:keepNext w:val="0"/>
        <w:keepLines w:val="0"/>
        <w:pageBreakBefore w:val="0"/>
        <w:kinsoku/>
        <w:wordWrap/>
        <w:overflowPunct/>
        <w:topLinePunct w:val="0"/>
        <w:autoSpaceDE/>
        <w:autoSpaceDN/>
        <w:bidi w:val="0"/>
        <w:adjustRightInd/>
        <w:snapToGrid/>
        <w:spacing w:line="579" w:lineRule="exact"/>
        <w:ind w:firstLine="642" w:firstLineChars="200"/>
        <w:textAlignment w:val="auto"/>
        <w:rPr>
          <w:rFonts w:hint="default" w:ascii="Times New Roman" w:hAnsi="Times New Roman" w:cs="Times New Roman"/>
          <w:highlight w:val="none"/>
          <w:lang w:val="en-US"/>
        </w:rPr>
      </w:pPr>
      <w:r>
        <w:rPr>
          <w:rFonts w:hint="eastAsia" w:ascii="楷体" w:hAnsi="楷体" w:eastAsia="楷体" w:cs="楷体"/>
          <w:b/>
          <w:bCs/>
          <w:i w:val="0"/>
          <w:iCs w:val="0"/>
          <w:caps w:val="0"/>
          <w:color w:val="auto"/>
          <w:spacing w:val="0"/>
          <w:kern w:val="0"/>
          <w:sz w:val="32"/>
          <w:szCs w:val="32"/>
          <w:highlight w:val="none"/>
          <w:lang w:val="en-US" w:eastAsia="zh-CN" w:bidi="ar-SA"/>
        </w:rPr>
        <w:t>6</w:t>
      </w:r>
      <w:r>
        <w:rPr>
          <w:rFonts w:hint="eastAsia" w:ascii="楷体" w:hAnsi="楷体" w:eastAsia="楷体" w:cs="楷体"/>
          <w:b/>
          <w:bCs/>
          <w:i w:val="0"/>
          <w:iCs w:val="0"/>
          <w:caps w:val="0"/>
          <w:color w:val="auto"/>
          <w:spacing w:val="0"/>
          <w:kern w:val="0"/>
          <w:sz w:val="32"/>
          <w:szCs w:val="32"/>
          <w:highlight w:val="none"/>
          <w:lang w:val="en" w:eastAsia="zh-CN" w:bidi="ar-SA"/>
        </w:rPr>
        <w:t>.优化知识产权管理体制。</w:t>
      </w:r>
      <w:r>
        <w:rPr>
          <w:rFonts w:hint="eastAsia" w:ascii="仿宋_GB2312" w:hAnsi="仿宋_GB2312" w:eastAsia="仿宋_GB2312" w:cs="仿宋_GB2312"/>
          <w:color w:val="auto"/>
          <w:sz w:val="32"/>
          <w:szCs w:val="32"/>
          <w:highlight w:val="none"/>
          <w:shd w:val="clear" w:color="auto" w:fill="FFFFFF"/>
          <w:lang w:val="en"/>
        </w:rPr>
        <w:t>强化知识产权合作会商机制，推动国家级、省级重点项目落地实施。</w:t>
      </w:r>
      <w:r>
        <w:rPr>
          <w:rFonts w:hint="eastAsia" w:ascii="仿宋_GB2312" w:hAnsi="仿宋_GB2312" w:eastAsia="仿宋_GB2312" w:cs="仿宋_GB2312"/>
          <w:color w:val="auto"/>
          <w:sz w:val="32"/>
          <w:szCs w:val="32"/>
          <w:highlight w:val="none"/>
          <w:shd w:val="clear" w:color="auto" w:fill="FFFFFF"/>
          <w:lang w:val="en-US" w:eastAsia="zh-CN"/>
        </w:rPr>
        <w:t>发挥市知识产权联席会议机制作用，强化部门常态化协同联动</w:t>
      </w:r>
      <w:r>
        <w:rPr>
          <w:rFonts w:hint="eastAsia" w:ascii="仿宋_GB2312" w:hAnsi="仿宋_GB2312" w:eastAsia="仿宋_GB2312" w:cs="仿宋_GB2312"/>
          <w:color w:val="auto"/>
          <w:sz w:val="32"/>
          <w:szCs w:val="32"/>
          <w:highlight w:val="none"/>
          <w:shd w:val="clear" w:color="auto" w:fill="FFFFFF"/>
          <w:lang w:val="en" w:eastAsia="zh-CN"/>
        </w:rPr>
        <w:t>。</w:t>
      </w:r>
      <w:r>
        <w:rPr>
          <w:rFonts w:hint="eastAsia" w:ascii="仿宋_GB2312" w:hAnsi="仿宋_GB2312" w:eastAsia="仿宋_GB2312" w:cs="仿宋_GB2312"/>
          <w:color w:val="auto"/>
          <w:sz w:val="32"/>
          <w:szCs w:val="32"/>
          <w:highlight w:val="none"/>
          <w:shd w:val="clear" w:color="auto" w:fill="FFFFFF"/>
          <w:lang w:val="en"/>
        </w:rPr>
        <w:t>深化专利、商标、版权、地理标志、商业秘密等多类型知识产权统一高效管理，</w:t>
      </w:r>
      <w:r>
        <w:rPr>
          <w:rFonts w:hint="eastAsia" w:ascii="仿宋_GB2312" w:hAnsi="仿宋_GB2312" w:eastAsia="仿宋_GB2312" w:cs="仿宋_GB2312"/>
          <w:color w:val="auto"/>
          <w:sz w:val="32"/>
          <w:szCs w:val="32"/>
          <w:highlight w:val="none"/>
          <w:shd w:val="clear" w:color="auto" w:fill="FFFFFF"/>
          <w:lang w:val="en-US" w:eastAsia="zh-CN"/>
        </w:rPr>
        <w:t>健全“市、区、街道”三级执法架构</w:t>
      </w:r>
      <w:r>
        <w:rPr>
          <w:rFonts w:hint="eastAsia" w:ascii="仿宋_GB2312" w:hAnsi="仿宋_GB2312" w:eastAsia="仿宋_GB2312" w:cs="仿宋_GB2312"/>
          <w:color w:val="auto"/>
          <w:sz w:val="32"/>
          <w:szCs w:val="32"/>
          <w:highlight w:val="none"/>
          <w:shd w:val="clear" w:color="auto" w:fill="FFFFFF"/>
          <w:lang w:val="en"/>
        </w:rPr>
        <w:t>，强化知识产权执法队伍建设</w:t>
      </w:r>
      <w:r>
        <w:rPr>
          <w:rFonts w:hint="eastAsia" w:ascii="仿宋_GB2312" w:hAnsi="仿宋_GB2312" w:eastAsia="仿宋_GB2312" w:cs="仿宋_GB2312"/>
          <w:color w:val="auto"/>
          <w:sz w:val="32"/>
          <w:szCs w:val="32"/>
          <w:highlight w:val="none"/>
          <w:shd w:val="clear" w:color="auto" w:fill="FFFFFF"/>
          <w:lang w:val="en" w:eastAsia="zh-CN"/>
        </w:rPr>
        <w:t>，</w:t>
      </w:r>
      <w:r>
        <w:rPr>
          <w:rFonts w:hint="eastAsia" w:ascii="仿宋_GB2312" w:hAnsi="仿宋_GB2312" w:eastAsia="仿宋_GB2312" w:cs="仿宋_GB2312"/>
          <w:color w:val="auto"/>
          <w:sz w:val="32"/>
          <w:szCs w:val="32"/>
          <w:highlight w:val="none"/>
          <w:shd w:val="clear" w:color="auto" w:fill="FFFFFF"/>
          <w:lang w:val="en-US" w:eastAsia="zh-CN"/>
        </w:rPr>
        <w:t>完善</w:t>
      </w:r>
      <w:r>
        <w:rPr>
          <w:rFonts w:hint="eastAsia" w:ascii="仿宋_GB2312" w:hAnsi="仿宋_GB2312" w:eastAsia="仿宋_GB2312" w:cs="仿宋_GB2312"/>
          <w:color w:val="auto"/>
          <w:sz w:val="32"/>
          <w:szCs w:val="32"/>
          <w:highlight w:val="none"/>
          <w:shd w:val="clear" w:color="auto" w:fill="FFFFFF"/>
          <w:lang w:val="en" w:eastAsia="zh-CN"/>
        </w:rPr>
        <w:t>高效的知识产权综合管理体制</w:t>
      </w:r>
      <w:r>
        <w:rPr>
          <w:rFonts w:hint="eastAsia" w:ascii="仿宋_GB2312" w:hAnsi="仿宋_GB2312" w:eastAsia="仿宋_GB2312" w:cs="仿宋_GB2312"/>
          <w:color w:val="auto"/>
          <w:sz w:val="32"/>
          <w:szCs w:val="32"/>
          <w:highlight w:val="none"/>
          <w:shd w:val="clear" w:color="auto" w:fill="FFFFFF"/>
          <w:lang w:val="en"/>
        </w:rPr>
        <w:t>。</w:t>
      </w:r>
      <w:r>
        <w:rPr>
          <w:rFonts w:hint="eastAsia" w:ascii="仿宋_GB2312" w:hAnsi="仿宋_GB2312" w:eastAsia="仿宋_GB2312" w:cs="仿宋_GB2312"/>
          <w:color w:val="auto"/>
          <w:sz w:val="32"/>
          <w:szCs w:val="32"/>
          <w:highlight w:val="none"/>
          <w:shd w:val="clear" w:color="auto" w:fill="FFFFFF"/>
          <w:lang w:val="en-US" w:eastAsia="zh-CN"/>
        </w:rPr>
        <w:t>高标准建设</w:t>
      </w:r>
      <w:r>
        <w:rPr>
          <w:rFonts w:hint="eastAsia" w:ascii="仿宋_GB2312" w:hAnsi="仿宋_GB2312" w:eastAsia="仿宋_GB2312" w:cs="仿宋_GB2312"/>
          <w:color w:val="auto"/>
          <w:sz w:val="32"/>
          <w:szCs w:val="32"/>
          <w:highlight w:val="none"/>
          <w:shd w:val="clear" w:color="auto" w:fill="FFFFFF"/>
        </w:rPr>
        <w:t>国家知识产权强市建设</w:t>
      </w:r>
      <w:r>
        <w:rPr>
          <w:rFonts w:hint="eastAsia" w:ascii="仿宋_GB2312" w:hAnsi="仿宋_GB2312" w:eastAsia="仿宋_GB2312" w:cs="仿宋_GB2312"/>
          <w:color w:val="auto"/>
          <w:sz w:val="32"/>
          <w:szCs w:val="32"/>
          <w:highlight w:val="none"/>
          <w:shd w:val="clear" w:color="auto" w:fill="FFFFFF"/>
          <w:lang w:val="en"/>
        </w:rPr>
        <w:t>示范城市、国家知识产权保护</w:t>
      </w:r>
      <w:r>
        <w:rPr>
          <w:rFonts w:hint="eastAsia" w:ascii="仿宋_GB2312" w:hAnsi="仿宋_GB2312" w:eastAsia="仿宋_GB2312" w:cs="仿宋_GB2312"/>
          <w:color w:val="auto"/>
          <w:sz w:val="32"/>
          <w:szCs w:val="32"/>
          <w:highlight w:val="none"/>
          <w:shd w:val="clear" w:color="auto" w:fill="FFFFFF"/>
          <w:lang w:val="en" w:eastAsia="zh-CN"/>
        </w:rPr>
        <w:t>高地，</w:t>
      </w:r>
      <w:r>
        <w:rPr>
          <w:rFonts w:hint="eastAsia" w:ascii="仿宋_GB2312" w:hAnsi="仿宋_GB2312" w:eastAsia="仿宋_GB2312" w:cs="仿宋_GB2312"/>
          <w:color w:val="auto"/>
          <w:sz w:val="32"/>
          <w:szCs w:val="32"/>
          <w:highlight w:val="none"/>
          <w:shd w:val="clear" w:color="auto" w:fill="FFFFFF"/>
          <w:lang w:val="en-US" w:eastAsia="zh-CN"/>
        </w:rPr>
        <w:t>打造知识产权发展标杆。完善知识产权强市强县强园区建设体系，促进知识产权与县域经济深度融合发展，提升重点园区知识产权综合发展水平。推进知识产权全链条与创新链产业链资金链人才链深度融合，形成具有全球竞争力的开放创新生态。</w:t>
      </w:r>
    </w:p>
    <w:p>
      <w:pPr>
        <w:pStyle w:val="2"/>
        <w:keepNext w:val="0"/>
        <w:keepLines w:val="0"/>
        <w:pageBreakBefore w:val="0"/>
        <w:kinsoku/>
        <w:wordWrap/>
        <w:overflowPunct/>
        <w:topLinePunct w:val="0"/>
        <w:autoSpaceDE/>
        <w:autoSpaceDN/>
        <w:bidi w:val="0"/>
        <w:adjustRightInd/>
        <w:snapToGrid/>
        <w:spacing w:line="579" w:lineRule="exact"/>
        <w:ind w:left="0" w:leftChars="0" w:right="0" w:firstLine="640"/>
        <w:textAlignment w:val="auto"/>
        <w:rPr>
          <w:rFonts w:ascii="Times New Roman" w:hAnsi="Times New Roman" w:cs="Times New Roman"/>
          <w:highlight w:val="none"/>
        </w:rPr>
      </w:pPr>
      <w:r>
        <w:rPr>
          <w:rFonts w:hint="eastAsia" w:ascii="Times New Roman" w:hAnsi="Times New Roman" w:cs="Times New Roman"/>
          <w:highlight w:val="none"/>
          <w:lang w:val="en-US" w:eastAsia="zh-CN"/>
        </w:rPr>
        <w:t>四</w:t>
      </w:r>
      <w:r>
        <w:rPr>
          <w:rFonts w:hint="eastAsia" w:ascii="Times New Roman" w:hAnsi="Times New Roman" w:cs="Times New Roman"/>
          <w:highlight w:val="none"/>
          <w:lang w:val="en"/>
        </w:rPr>
        <w:t>、</w:t>
      </w:r>
      <w:r>
        <w:rPr>
          <w:rFonts w:hint="eastAsia" w:ascii="Times New Roman" w:hAnsi="Times New Roman" w:cs="Times New Roman"/>
          <w:highlight w:val="none"/>
          <w:lang w:val="en-US" w:eastAsia="zh-CN"/>
        </w:rPr>
        <w:t>打造</w:t>
      </w:r>
      <w:r>
        <w:rPr>
          <w:rFonts w:hint="eastAsia" w:ascii="Times New Roman" w:hAnsi="Times New Roman" w:cs="Times New Roman"/>
          <w:highlight w:val="none"/>
        </w:rPr>
        <w:t>知识产权创造标杆城市</w:t>
      </w:r>
    </w:p>
    <w:p>
      <w:pPr>
        <w:keepNext w:val="0"/>
        <w:keepLines w:val="0"/>
        <w:pageBreakBefore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仿宋_GB2312" w:cs="Times New Roman"/>
          <w:i w:val="0"/>
          <w:iCs w:val="0"/>
          <w:caps w:val="0"/>
          <w:color w:val="000000"/>
          <w:spacing w:val="0"/>
          <w:kern w:val="2"/>
          <w:sz w:val="32"/>
          <w:szCs w:val="32"/>
          <w:highlight w:val="none"/>
          <w:shd w:val="clear" w:color="auto" w:fill="auto"/>
          <w:lang w:val="en-US" w:eastAsia="zh-CN" w:bidi="ar"/>
        </w:rPr>
      </w:pPr>
      <w:r>
        <w:rPr>
          <w:rFonts w:hint="eastAsia" w:ascii="楷体" w:hAnsi="楷体" w:eastAsia="楷体" w:cs="楷体"/>
          <w:b/>
          <w:bCs/>
          <w:i w:val="0"/>
          <w:iCs w:val="0"/>
          <w:caps w:val="0"/>
          <w:color w:val="auto"/>
          <w:spacing w:val="0"/>
          <w:kern w:val="0"/>
          <w:sz w:val="32"/>
          <w:szCs w:val="32"/>
          <w:highlight w:val="none"/>
          <w:lang w:val="en-US" w:eastAsia="zh-CN" w:bidi="ar-SA"/>
        </w:rPr>
        <w:t>7.强化知识产权高质量创造。</w:t>
      </w:r>
      <w:r>
        <w:rPr>
          <w:rFonts w:hint="eastAsia" w:ascii="Times New Roman" w:hAnsi="Times New Roman" w:eastAsia="仿宋_GB2312" w:cs="Times New Roman"/>
          <w:b w:val="0"/>
          <w:bCs w:val="0"/>
          <w:i w:val="0"/>
          <w:iCs w:val="0"/>
          <w:caps w:val="0"/>
          <w:color w:val="auto"/>
          <w:spacing w:val="0"/>
          <w:kern w:val="2"/>
          <w:sz w:val="32"/>
          <w:szCs w:val="32"/>
          <w:highlight w:val="none"/>
          <w:lang w:val="en-US" w:eastAsia="zh-CN" w:bidi="ar"/>
        </w:rPr>
        <w:t>聚焦赋能制造业创新创造，</w:t>
      </w:r>
      <w:r>
        <w:rPr>
          <w:rFonts w:hint="eastAsia" w:ascii="Times New Roman" w:hAnsi="Times New Roman" w:eastAsia="仿宋_GB2312" w:cs="Times New Roman"/>
          <w:b w:val="0"/>
          <w:bCs w:val="0"/>
          <w:i w:val="0"/>
          <w:iCs w:val="0"/>
          <w:caps w:val="0"/>
          <w:spacing w:val="0"/>
          <w:kern w:val="2"/>
          <w:sz w:val="32"/>
          <w:szCs w:val="32"/>
          <w:highlight w:val="none"/>
          <w:lang w:val="en-US" w:eastAsia="zh-CN" w:bidi="ar"/>
        </w:rPr>
        <w:t>加强重大科技研发项目和重点创新主体的海外知识产权布局，</w:t>
      </w:r>
      <w:r>
        <w:rPr>
          <w:rFonts w:hint="eastAsia" w:ascii="Times New Roman" w:hAnsi="Times New Roman" w:eastAsia="仿宋_GB2312" w:cs="Times New Roman"/>
          <w:b w:val="0"/>
          <w:bCs w:val="0"/>
          <w:i w:val="0"/>
          <w:iCs w:val="0"/>
          <w:caps w:val="0"/>
          <w:color w:val="auto"/>
          <w:spacing w:val="0"/>
          <w:kern w:val="2"/>
          <w:sz w:val="32"/>
          <w:szCs w:val="32"/>
          <w:highlight w:val="none"/>
          <w:lang w:val="en-US" w:eastAsia="zh-CN" w:bidi="ar"/>
        </w:rPr>
        <w:t>巩固“深圳—香港—广州”创新集群全球领先优势。</w:t>
      </w:r>
      <w:r>
        <w:rPr>
          <w:rFonts w:hint="eastAsia" w:ascii="Times New Roman" w:hAnsi="Times New Roman" w:eastAsia="仿宋_GB2312" w:cs="Times New Roman"/>
          <w:sz w:val="32"/>
          <w:szCs w:val="32"/>
          <w:highlight w:val="none"/>
          <w:lang w:bidi="ar"/>
        </w:rPr>
        <w:t>构建知识产权和技术攻关协同机制，完善关键核心技术攻关和战略科技力量的知识产权管理运用机制，健全科技创新重大项目的知识产权全过程管理。推广产业专利导航决策机制，推动健全应用类重大科技任务“专利导向研发”的管理机制，促进科技创新助推产业转型升级。引导国有企事业单位以质量和价值为导向，持续优化涉及知识产权的激励政策和考核评价机制。健全以产业化前景评价为核心的专利申请前评估制度，推动将专利质量、专利产业化等作为创新主体考评的重要指标内容。逐步扩大财政资助科研项目形成专利的声明制度的项目范围，加强相关专利质量和转化效益跟踪监测。深入实施种业振兴行动，鼓励开展植物新品种权申请前评估，提升种源自主可控能力。</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jc w:val="center"/>
              <w:rPr>
                <w:rFonts w:hint="default" w:ascii="Times New Roman" w:hAnsi="Times New Roman" w:eastAsia="等线" w:cs="Times New Roman"/>
                <w:color w:val="000000"/>
                <w:highlight w:val="none"/>
              </w:rPr>
            </w:pPr>
            <w:r>
              <w:rPr>
                <w:rFonts w:hint="eastAsia" w:ascii="Times New Roman" w:hAnsi="Times New Roman" w:cs="Times New Roman"/>
                <w:color w:val="000000"/>
                <w:highlight w:val="none"/>
              </w:rPr>
              <w:t>专栏</w:t>
            </w:r>
            <w:r>
              <w:rPr>
                <w:rFonts w:hint="eastAsia" w:ascii="Times New Roman" w:hAnsi="Times New Roman" w:cs="Times New Roman"/>
                <w:color w:val="000000"/>
                <w:highlight w:val="none"/>
                <w:lang w:val="en-US" w:eastAsia="zh-CN"/>
              </w:rPr>
              <w:t>5</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rPr>
              <w:t>高价值专利培育工程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000000"/>
                <w:highlight w:val="none"/>
                <w:lang w:val="en-US" w:eastAsia="zh-CN"/>
              </w:rPr>
            </w:pPr>
            <w:r>
              <w:rPr>
                <w:rFonts w:hint="eastAsia" w:ascii="Times New Roman" w:hAnsi="Times New Roman" w:eastAsia="宋体" w:cs="Times New Roman"/>
                <w:color w:val="000000"/>
                <w:sz w:val="21"/>
                <w:szCs w:val="24"/>
                <w:highlight w:val="none"/>
              </w:rPr>
              <w:t>探索建立专利申请质量协同提升机制</w:t>
            </w:r>
            <w:r>
              <w:rPr>
                <w:rFonts w:hint="eastAsia" w:ascii="Times New Roman" w:hAnsi="Times New Roman" w:eastAsia="宋体" w:cs="Times New Roman"/>
                <w:color w:val="000000"/>
                <w:sz w:val="21"/>
                <w:szCs w:val="24"/>
                <w:highlight w:val="none"/>
                <w:lang w:eastAsia="zh-CN"/>
              </w:rPr>
              <w:t>。</w:t>
            </w:r>
            <w:r>
              <w:rPr>
                <w:rFonts w:hint="eastAsia" w:ascii="Times New Roman" w:hAnsi="Times New Roman" w:cs="Times New Roman"/>
                <w:color w:val="000000"/>
                <w:highlight w:val="none"/>
              </w:rPr>
              <w:t>围绕</w:t>
            </w:r>
            <w:r>
              <w:rPr>
                <w:rFonts w:hint="eastAsia" w:ascii="Times New Roman" w:hAnsi="Times New Roman" w:cs="Times New Roman"/>
                <w:color w:val="000000"/>
                <w:highlight w:val="none"/>
                <w:lang w:val="en-US" w:eastAsia="zh-CN"/>
              </w:rPr>
              <w:t>集成电路、工业母机、高端仪器、基础软件、先进材料、生物制造等领域</w:t>
            </w:r>
            <w:r>
              <w:rPr>
                <w:rFonts w:hint="eastAsia" w:ascii="Times New Roman" w:hAnsi="Times New Roman" w:cs="Times New Roman"/>
                <w:color w:val="000000"/>
                <w:highlight w:val="none"/>
                <w:lang w:eastAsia="zh-CN"/>
              </w:rPr>
              <w:t>关键核心技术攻关</w:t>
            </w:r>
            <w:r>
              <w:rPr>
                <w:rFonts w:hint="eastAsia" w:ascii="Times New Roman" w:hAnsi="Times New Roman" w:cs="Times New Roman"/>
                <w:color w:val="000000"/>
                <w:highlight w:val="none"/>
              </w:rPr>
              <w:t>，</w:t>
            </w:r>
            <w:r>
              <w:rPr>
                <w:rFonts w:hint="eastAsia" w:ascii="Times New Roman" w:hAnsi="Times New Roman" w:cs="Times New Roman"/>
                <w:color w:val="000000"/>
                <w:highlight w:val="none"/>
                <w:lang w:val="en-US" w:eastAsia="zh-CN"/>
              </w:rPr>
              <w:t>加快形成一批具有先发优势的颠覆性、非对称技术，培育一批高价值专利及专利组合，催生新产业新模式新动能。</w:t>
            </w:r>
            <w:r>
              <w:rPr>
                <w:rFonts w:hint="eastAsia" w:ascii="Times New Roman" w:hAnsi="Times New Roman" w:cs="Times New Roman"/>
                <w:color w:val="000000"/>
                <w:highlight w:val="none"/>
              </w:rPr>
              <w:t>鼓励企业运用专利优先审查、快速预审与专利审查高速路等机制，大幅压缩国内外专利授权时间</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专利加快获权服务次数达12万次以上</w:t>
            </w:r>
            <w:r>
              <w:rPr>
                <w:rFonts w:hint="default" w:ascii="Times New Roman" w:hAnsi="Times New Roman" w:cs="Times New Roman"/>
                <w:color w:val="000000"/>
                <w:highlight w:val="none"/>
              </w:rPr>
              <w:t>，提升创新主体关键核心技术发明专利布局质量和效率。引导创新主体多渠道、高质量开展海外专利申请，“十五五”期间，海外发明专利授权量达8万件以上。</w:t>
            </w:r>
          </w:p>
        </w:tc>
      </w:tr>
    </w:tbl>
    <w:p>
      <w:pPr>
        <w:pStyle w:val="9"/>
        <w:keepNext w:val="0"/>
        <w:keepLines w:val="0"/>
        <w:pageBreakBefore w:val="0"/>
        <w:widowControl/>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left"/>
        <w:textAlignment w:val="auto"/>
        <w:rPr>
          <w:rFonts w:hint="eastAsia" w:ascii="Times New Roman" w:hAnsi="Times New Roman" w:eastAsia="仿宋_GB2312" w:cs="Times New Roman"/>
          <w:sz w:val="32"/>
          <w:szCs w:val="32"/>
          <w:highlight w:val="none"/>
          <w:lang w:bidi="ar"/>
        </w:rPr>
      </w:pPr>
      <w:r>
        <w:rPr>
          <w:rFonts w:hint="eastAsia" w:ascii="楷体" w:hAnsi="楷体" w:eastAsia="楷体" w:cs="楷体"/>
          <w:b/>
          <w:bCs/>
          <w:i w:val="0"/>
          <w:iCs w:val="0"/>
          <w:caps w:val="0"/>
          <w:color w:val="auto"/>
          <w:spacing w:val="0"/>
          <w:kern w:val="0"/>
          <w:sz w:val="32"/>
          <w:szCs w:val="32"/>
          <w:highlight w:val="none"/>
          <w:lang w:val="en-US" w:eastAsia="zh-CN" w:bidi="ar-SA"/>
        </w:rPr>
        <w:t>8.提升创新主体知识产权综合实力。</w:t>
      </w:r>
      <w:r>
        <w:rPr>
          <w:rFonts w:hint="eastAsia" w:ascii="Times New Roman" w:hAnsi="Times New Roman" w:eastAsia="仿宋_GB2312" w:cs="Times New Roman"/>
          <w:color w:val="000000"/>
          <w:sz w:val="32"/>
          <w:szCs w:val="32"/>
          <w:highlight w:val="none"/>
          <w:lang w:val="en-US" w:eastAsia="zh-CN"/>
        </w:rPr>
        <w:t>深入推进</w:t>
      </w:r>
      <w:r>
        <w:rPr>
          <w:rFonts w:hint="eastAsia" w:ascii="Times New Roman" w:hAnsi="Times New Roman" w:eastAsia="仿宋_GB2312" w:cs="Times New Roman"/>
          <w:color w:val="000000"/>
          <w:kern w:val="2"/>
          <w:sz w:val="32"/>
          <w:szCs w:val="32"/>
          <w:lang w:val="en-US" w:eastAsia="zh-CN" w:bidi="ar"/>
        </w:rPr>
        <w:t>高校、科研机构</w:t>
      </w:r>
      <w:r>
        <w:rPr>
          <w:rFonts w:hint="eastAsia" w:ascii="Times New Roman" w:hAnsi="Times New Roman" w:eastAsia="仿宋_GB2312" w:cs="Times New Roman"/>
          <w:color w:val="000000"/>
          <w:sz w:val="32"/>
          <w:szCs w:val="32"/>
          <w:highlight w:val="none"/>
          <w:lang w:val="en-US" w:eastAsia="zh-CN"/>
        </w:rPr>
        <w:t>职务科技成果赋权改革和资产单列管理，推动建立专利转化尽职免责和容错机制，健全权利义务对等的知识产权收益分配机制。</w:t>
      </w:r>
      <w:r>
        <w:rPr>
          <w:rFonts w:hint="eastAsia" w:ascii="Times New Roman" w:hAnsi="Times New Roman" w:eastAsia="仿宋_GB2312" w:cs="Times New Roman"/>
          <w:color w:val="000000"/>
          <w:sz w:val="32"/>
          <w:szCs w:val="32"/>
          <w:highlight w:val="none"/>
          <w:lang w:eastAsia="zh-CN"/>
        </w:rPr>
        <w:t>推动</w:t>
      </w:r>
      <w:r>
        <w:rPr>
          <w:rFonts w:hint="eastAsia" w:ascii="Times New Roman" w:hAnsi="Times New Roman" w:eastAsia="仿宋_GB2312" w:cs="Times New Roman"/>
          <w:color w:val="000000"/>
          <w:sz w:val="32"/>
          <w:szCs w:val="32"/>
          <w:highlight w:val="none"/>
          <w:lang w:val="en-US" w:eastAsia="zh-CN"/>
        </w:rPr>
        <w:t>高校、科研机构等</w:t>
      </w:r>
      <w:r>
        <w:rPr>
          <w:rFonts w:hint="eastAsia" w:ascii="Times New Roman" w:hAnsi="Times New Roman" w:eastAsia="仿宋_GB2312" w:cs="Times New Roman"/>
          <w:color w:val="000000"/>
          <w:sz w:val="32"/>
          <w:szCs w:val="32"/>
          <w:highlight w:val="none"/>
          <w:lang w:eastAsia="zh-CN"/>
        </w:rPr>
        <w:t>研究型单位建立独立的知识产权管理部门</w:t>
      </w:r>
      <w:r>
        <w:rPr>
          <w:rFonts w:hint="eastAsia" w:ascii="Times New Roman" w:hAnsi="Times New Roman" w:eastAsia="仿宋_GB2312" w:cs="Times New Roman"/>
          <w:color w:val="000000"/>
          <w:sz w:val="32"/>
          <w:szCs w:val="32"/>
          <w:highlight w:val="none"/>
          <w:lang w:val="en-US" w:eastAsia="zh-CN"/>
        </w:rPr>
        <w:t>，支持科研人员通过知识产权作价入股收益分成等方式参与科技成果转化。</w:t>
      </w:r>
      <w:r>
        <w:rPr>
          <w:rFonts w:hint="eastAsia" w:ascii="Times New Roman" w:hAnsi="Times New Roman" w:eastAsia="仿宋_GB2312" w:cs="Times New Roman"/>
          <w:color w:val="000000"/>
          <w:sz w:val="32"/>
          <w:szCs w:val="32"/>
          <w:highlight w:val="none"/>
          <w:lang w:val="en-US" w:eastAsia="zh-CN" w:bidi="ar"/>
        </w:rPr>
        <w:t>健全</w:t>
      </w:r>
      <w:r>
        <w:rPr>
          <w:rFonts w:hint="eastAsia" w:ascii="Times New Roman" w:hAnsi="Times New Roman" w:eastAsia="仿宋_GB2312" w:cs="Times New Roman"/>
          <w:color w:val="000000"/>
          <w:sz w:val="32"/>
          <w:szCs w:val="32"/>
          <w:highlight w:val="none"/>
          <w:lang w:eastAsia="zh-CN" w:bidi="ar"/>
        </w:rPr>
        <w:t>“企业出题、院所答题、市场阅卷”的新型科研组织模式，发挥企业在创新方向选择、资源配置、成果评价中的主导作用，</w:t>
      </w:r>
      <w:r>
        <w:rPr>
          <w:rFonts w:hint="eastAsia" w:ascii="Times New Roman" w:hAnsi="Times New Roman" w:eastAsia="仿宋_GB2312" w:cs="Times New Roman"/>
          <w:color w:val="000000"/>
          <w:sz w:val="32"/>
          <w:szCs w:val="32"/>
          <w:highlight w:val="none"/>
          <w:lang w:val="en-US" w:eastAsia="zh-CN" w:bidi="ar"/>
        </w:rPr>
        <w:t>培育更多符合产业发展需求</w:t>
      </w:r>
      <w:r>
        <w:rPr>
          <w:rFonts w:hint="eastAsia" w:ascii="Times New Roman" w:hAnsi="Times New Roman" w:eastAsia="仿宋_GB2312" w:cs="Times New Roman"/>
          <w:sz w:val="32"/>
          <w:szCs w:val="32"/>
          <w:highlight w:val="none"/>
          <w:lang w:val="en-US" w:eastAsia="zh-CN" w:bidi="ar"/>
        </w:rPr>
        <w:t>、实现产业化</w:t>
      </w:r>
      <w:r>
        <w:rPr>
          <w:rFonts w:hint="eastAsia" w:ascii="Times New Roman" w:hAnsi="Times New Roman" w:eastAsia="仿宋_GB2312" w:cs="Times New Roman"/>
          <w:color w:val="000000"/>
          <w:sz w:val="32"/>
          <w:szCs w:val="32"/>
          <w:highlight w:val="none"/>
          <w:lang w:val="en-US" w:eastAsia="zh-CN" w:bidi="ar"/>
        </w:rPr>
        <w:t>的高价值专利</w:t>
      </w:r>
      <w:r>
        <w:rPr>
          <w:rFonts w:hint="eastAsia" w:ascii="Times New Roman" w:hAnsi="Times New Roman" w:eastAsia="仿宋_GB2312" w:cs="Times New Roman"/>
          <w:color w:val="000000"/>
          <w:sz w:val="32"/>
          <w:szCs w:val="32"/>
          <w:highlight w:val="none"/>
          <w:lang w:eastAsia="zh-CN" w:bidi="ar"/>
        </w:rPr>
        <w:t>。</w:t>
      </w:r>
      <w:r>
        <w:rPr>
          <w:rFonts w:hint="eastAsia" w:ascii="Times New Roman" w:hAnsi="Times New Roman" w:eastAsia="仿宋_GB2312" w:cs="Times New Roman"/>
          <w:kern w:val="2"/>
          <w:sz w:val="32"/>
          <w:szCs w:val="32"/>
          <w:lang w:val="en-US" w:eastAsia="zh-CN" w:bidi="ar"/>
        </w:rPr>
        <w:t>强化产学研协同创新的知识产权规范管理，明晰权益归属机制</w:t>
      </w:r>
      <w:r>
        <w:rPr>
          <w:rFonts w:hint="eastAsia" w:ascii="Times New Roman" w:hAnsi="Times New Roman" w:eastAsia="仿宋_GB2312" w:cs="Times New Roman"/>
          <w:i w:val="0"/>
          <w:iCs w:val="0"/>
          <w:caps w:val="0"/>
          <w:spacing w:val="0"/>
          <w:kern w:val="2"/>
          <w:sz w:val="32"/>
          <w:szCs w:val="32"/>
          <w:highlight w:val="none"/>
          <w:shd w:val="clear" w:color="auto" w:fill="auto"/>
          <w:lang w:val="en-US" w:eastAsia="zh-CN" w:bidi="ar"/>
        </w:rPr>
        <w:t>。</w:t>
      </w:r>
      <w:r>
        <w:rPr>
          <w:rFonts w:hint="eastAsia" w:ascii="Times New Roman" w:hAnsi="Times New Roman" w:eastAsia="仿宋_GB2312" w:cs="Times New Roman"/>
          <w:sz w:val="32"/>
          <w:szCs w:val="32"/>
          <w:highlight w:val="none"/>
          <w:lang w:val="en-US" w:eastAsia="zh-CN" w:bidi="ar"/>
        </w:rPr>
        <w:t>拓宽中小企业专利产业化融资渠道，培育一批以专利产业化为成长路径的中小企业，推动更多初创企业加快成长为科技领军企业。综合发挥专利、商标、版权、数据知识产权、地理标志等各类型知识产权组合效应，</w:t>
      </w:r>
      <w:r>
        <w:rPr>
          <w:rFonts w:hint="eastAsia" w:ascii="Times New Roman" w:hAnsi="Times New Roman" w:eastAsia="仿宋_GB2312" w:cs="Times New Roman"/>
          <w:sz w:val="32"/>
          <w:szCs w:val="32"/>
          <w:highlight w:val="none"/>
          <w:lang w:bidi="ar"/>
        </w:rPr>
        <w:t>打造一批以科技创新为支撑、以商标品牌为引领</w:t>
      </w:r>
      <w:r>
        <w:rPr>
          <w:rFonts w:hint="eastAsia" w:ascii="Times New Roman" w:hAnsi="Times New Roman" w:eastAsia="仿宋_GB2312" w:cs="Times New Roman"/>
          <w:sz w:val="32"/>
          <w:szCs w:val="32"/>
          <w:highlight w:val="none"/>
          <w:lang w:eastAsia="zh-CN" w:bidi="ar"/>
        </w:rPr>
        <w:t>、</w:t>
      </w:r>
      <w:r>
        <w:rPr>
          <w:rFonts w:hint="eastAsia" w:ascii="Times New Roman" w:hAnsi="Times New Roman" w:eastAsia="仿宋_GB2312" w:cs="Times New Roman"/>
          <w:sz w:val="32"/>
          <w:szCs w:val="32"/>
          <w:highlight w:val="none"/>
          <w:lang w:val="en-US" w:eastAsia="zh-CN" w:bidi="ar"/>
        </w:rPr>
        <w:t>以文化创意为核心、以数据要素为驱动的知识产权优势企业</w:t>
      </w:r>
      <w:r>
        <w:rPr>
          <w:rFonts w:hint="eastAsia" w:ascii="Times New Roman" w:hAnsi="Times New Roman" w:eastAsia="仿宋_GB2312" w:cs="Times New Roman"/>
          <w:sz w:val="32"/>
          <w:szCs w:val="32"/>
          <w:highlight w:val="none"/>
          <w:lang w:bidi="ar"/>
        </w:rPr>
        <w:t>。</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cs="Times New Roman"/>
                <w:color w:val="000000"/>
                <w:highlight w:val="none"/>
              </w:rPr>
              <w:t>专栏</w:t>
            </w:r>
            <w:r>
              <w:rPr>
                <w:rFonts w:hint="eastAsia" w:ascii="Times New Roman" w:hAnsi="Times New Roman" w:cs="Times New Roman"/>
                <w:color w:val="000000"/>
                <w:highlight w:val="none"/>
                <w:lang w:val="en-US" w:eastAsia="zh-CN"/>
              </w:rPr>
              <w:t>6</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lang w:val="en-US" w:eastAsia="zh-CN"/>
              </w:rPr>
              <w:t>知识产权与人工智能双向赋能工程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noWrap w:val="0"/>
            <w:vAlign w:val="top"/>
          </w:tcPr>
          <w:p>
            <w:pPr>
              <w:keepNext w:val="0"/>
              <w:keepLines w:val="0"/>
              <w:suppressLineNumbers w:val="0"/>
              <w:spacing w:before="0" w:beforeAutospacing="0" w:after="0" w:afterAutospacing="0"/>
              <w:ind w:left="0" w:right="0" w:firstLine="420" w:firstLineChars="200"/>
              <w:rPr>
                <w:rFonts w:hint="eastAsia" w:ascii="Times New Roman" w:hAnsi="Times New Roman" w:cs="Times New Roman"/>
                <w:color w:val="000000"/>
                <w:highlight w:val="none"/>
                <w:lang w:val="en-US" w:eastAsia="zh-CN"/>
              </w:rPr>
            </w:pPr>
            <w:r>
              <w:rPr>
                <w:rFonts w:hint="eastAsia" w:ascii="Times New Roman" w:hAnsi="Times New Roman" w:cs="Times New Roman"/>
                <w:color w:val="000000"/>
                <w:highlight w:val="none"/>
                <w:lang w:val="en-US" w:eastAsia="zh-CN"/>
              </w:rPr>
              <w:t>知识产权促进人工智能发展。支持企业将知识产权管理活动嵌入创新全过程，自研新型人工智能算法，加快人工智能通用大模型和垂类大模型研发应用，发展壮大国产操作系统生态，推动人工智能计算芯片和软件生态自主可控。</w:t>
            </w:r>
            <w:r>
              <w:rPr>
                <w:rFonts w:hint="default" w:ascii="Times New Roman" w:hAnsi="Times New Roman" w:eastAsia="宋体" w:cs="Times New Roman"/>
                <w:color w:val="000000"/>
                <w:highlight w:val="none"/>
                <w:lang w:val="en-US" w:eastAsia="zh-CN"/>
              </w:rPr>
              <w:t>推动具身智能规模化应用，支持人形机器人、脑机接口等行业发展，聚焦核心零部件、关键技术开展专利布局，加快培育新型智能终端集群</w:t>
            </w:r>
            <w:r>
              <w:rPr>
                <w:rFonts w:hint="eastAsia" w:ascii="Times New Roman" w:hAnsi="Times New Roman" w:cs="Times New Roman"/>
                <w:color w:val="000000"/>
                <w:highlight w:val="none"/>
                <w:lang w:val="en-US" w:eastAsia="zh-CN"/>
              </w:rPr>
              <w:t>。探索建设人工智能产业标准与知识产权创新联合体，以标准与知识产权协同创新为驱动，系统提升人工智能产业核心竞争力与规则话语权。</w:t>
            </w:r>
          </w:p>
          <w:p>
            <w:pPr>
              <w:keepNext w:val="0"/>
              <w:keepLines w:val="0"/>
              <w:suppressLineNumbers w:val="0"/>
              <w:spacing w:before="0" w:beforeAutospacing="0" w:after="0" w:afterAutospacing="0"/>
              <w:ind w:left="0" w:right="0" w:firstLine="420" w:firstLineChars="200"/>
              <w:rPr>
                <w:rFonts w:hint="default" w:ascii="Times New Roman" w:hAnsi="Times New Roman" w:eastAsia="宋体" w:cs="Times New Roman"/>
                <w:color w:val="000000"/>
                <w:highlight w:val="none"/>
                <w:lang w:val="en-US" w:eastAsia="zh-CN"/>
              </w:rPr>
            </w:pPr>
            <w:r>
              <w:rPr>
                <w:rFonts w:hint="eastAsia" w:ascii="Times New Roman" w:hAnsi="Times New Roman" w:cs="Times New Roman"/>
                <w:color w:val="000000"/>
                <w:highlight w:val="none"/>
                <w:lang w:val="en-US" w:eastAsia="zh-CN"/>
              </w:rPr>
              <w:t>推动人工智能技术在知识产权领域应用。拓展“人工智能+”知识产权信息服务应用新场景，加大力度拓展应用和产业空间。升级迭代知识产权AI智能体“深知保”，提供专利预审、专利代办等24小时全天候便捷智能咨询服务。推进构建智能辅助系统，加强知识产权行政执法智能化、数字化建设。建立完善“专业+机制+大数据”新型警务运行模式，依法打击各类</w:t>
            </w:r>
            <w:r>
              <w:rPr>
                <w:rFonts w:hint="eastAsia" w:cs="Times New Roman"/>
                <w:color w:val="000000"/>
                <w:highlight w:val="none"/>
                <w:lang w:val="en-US" w:eastAsia="zh-CN"/>
              </w:rPr>
              <w:t>侵犯</w:t>
            </w:r>
            <w:r>
              <w:rPr>
                <w:rFonts w:hint="eastAsia" w:ascii="Times New Roman" w:hAnsi="Times New Roman" w:cs="Times New Roman"/>
                <w:color w:val="000000"/>
                <w:highlight w:val="none"/>
                <w:lang w:val="en-US" w:eastAsia="zh-CN"/>
              </w:rPr>
              <w:t>知识产权犯罪。</w:t>
            </w:r>
          </w:p>
        </w:tc>
      </w:tr>
    </w:tbl>
    <w:p>
      <w:pPr>
        <w:keepNext w:val="0"/>
        <w:keepLines w:val="0"/>
        <w:widowControl w:val="0"/>
        <w:suppressLineNumbers w:val="0"/>
        <w:spacing w:before="0" w:beforeAutospacing="0" w:after="0" w:afterAutospacing="0" w:line="579" w:lineRule="exact"/>
        <w:ind w:left="0" w:right="0" w:firstLine="642" w:firstLineChars="200"/>
        <w:jc w:val="both"/>
        <w:rPr>
          <w:rFonts w:ascii="Times New Roman" w:hAnsi="Times New Roman" w:eastAsia="仿宋_GB2312" w:cs="Times New Roman"/>
          <w:color w:val="000000"/>
          <w:sz w:val="32"/>
          <w:szCs w:val="32"/>
          <w:lang w:val="en-US"/>
        </w:rPr>
      </w:pPr>
      <w:r>
        <w:rPr>
          <w:rFonts w:hint="eastAsia" w:ascii="楷体" w:hAnsi="楷体" w:eastAsia="楷体" w:cs="楷体"/>
          <w:b/>
          <w:bCs/>
          <w:i w:val="0"/>
          <w:iCs w:val="0"/>
          <w:caps w:val="0"/>
          <w:color w:val="auto"/>
          <w:spacing w:val="0"/>
          <w:kern w:val="0"/>
          <w:sz w:val="32"/>
          <w:szCs w:val="32"/>
          <w:highlight w:val="none"/>
          <w:lang w:val="en-US" w:eastAsia="zh-CN" w:bidi="ar-SA"/>
        </w:rPr>
        <w:t>9.促进知识产权与标准协同创新。</w:t>
      </w:r>
      <w:r>
        <w:rPr>
          <w:rFonts w:hint="eastAsia" w:ascii="Times New Roman" w:hAnsi="Times New Roman" w:eastAsia="仿宋_GB2312" w:cs="Times New Roman"/>
          <w:color w:val="000000"/>
          <w:sz w:val="32"/>
          <w:szCs w:val="32"/>
          <w:highlight w:val="none"/>
          <w:lang w:val="en-US" w:eastAsia="zh-CN"/>
        </w:rPr>
        <w:t>发挥深圳市知识产权标准化技术委员会作用，</w:t>
      </w:r>
      <w:r>
        <w:rPr>
          <w:rFonts w:hint="eastAsia" w:ascii="Times New Roman" w:hAnsi="Times New Roman" w:eastAsia="仿宋_GB2312" w:cs="Times New Roman"/>
          <w:color w:val="000000"/>
          <w:sz w:val="32"/>
          <w:szCs w:val="32"/>
          <w:highlight w:val="none"/>
        </w:rPr>
        <w:t>鼓励创新主体</w:t>
      </w:r>
      <w:r>
        <w:rPr>
          <w:rFonts w:hint="eastAsia" w:ascii="Times New Roman" w:hAnsi="Times New Roman" w:eastAsia="仿宋_GB2312" w:cs="Times New Roman"/>
          <w:color w:val="000000"/>
          <w:kern w:val="2"/>
          <w:sz w:val="32"/>
          <w:szCs w:val="32"/>
          <w:lang w:val="en-US" w:eastAsia="zh-CN" w:bidi="ar"/>
        </w:rPr>
        <w:t>加大标准领域的研发投入和前沿性技术布局，积极参与标准的制定与产业化</w:t>
      </w:r>
      <w:r>
        <w:rPr>
          <w:rFonts w:hint="eastAsia" w:ascii="Times New Roman" w:hAnsi="Times New Roman" w:eastAsia="仿宋_GB2312" w:cs="Times New Roman"/>
          <w:color w:val="000000"/>
          <w:sz w:val="32"/>
          <w:szCs w:val="32"/>
          <w:highlight w:val="none"/>
        </w:rPr>
        <w:t>，探索在国际、国家、湾区及团体标准实现突破</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加强</w:t>
      </w:r>
      <w:r>
        <w:rPr>
          <w:rFonts w:hint="eastAsia" w:ascii="Times New Roman" w:hAnsi="Times New Roman" w:eastAsia="仿宋_GB2312" w:cs="Times New Roman"/>
          <w:color w:val="000000"/>
          <w:sz w:val="32"/>
          <w:szCs w:val="32"/>
          <w:highlight w:val="none"/>
          <w:lang w:eastAsia="zh-CN"/>
        </w:rPr>
        <w:t>对重点国家、地区和国际标准组织</w:t>
      </w:r>
      <w:r>
        <w:rPr>
          <w:rFonts w:hint="eastAsia" w:ascii="Times New Roman" w:hAnsi="Times New Roman" w:eastAsia="仿宋_GB2312" w:cs="Times New Roman"/>
          <w:color w:val="000000"/>
          <w:sz w:val="32"/>
          <w:szCs w:val="32"/>
          <w:highlight w:val="none"/>
        </w:rPr>
        <w:t>标准必要专利</w:t>
      </w:r>
      <w:r>
        <w:rPr>
          <w:rFonts w:hint="eastAsia" w:ascii="Times New Roman" w:hAnsi="Times New Roman" w:eastAsia="仿宋_GB2312" w:cs="Times New Roman"/>
          <w:color w:val="000000"/>
          <w:sz w:val="32"/>
          <w:szCs w:val="32"/>
          <w:highlight w:val="none"/>
          <w:lang w:eastAsia="zh-CN"/>
        </w:rPr>
        <w:t>规则的研究，发布重点领域标准必要专利分析报告。深化标准必要专利数据库建设，加大标准必要专利信息供给。</w:t>
      </w:r>
      <w:r>
        <w:rPr>
          <w:rFonts w:hint="eastAsia" w:ascii="Times New Roman" w:hAnsi="Times New Roman" w:eastAsia="仿宋_GB2312" w:cs="Times New Roman"/>
          <w:color w:val="000000"/>
          <w:sz w:val="32"/>
          <w:szCs w:val="32"/>
          <w:highlight w:val="none"/>
          <w:lang w:val="en-US" w:eastAsia="zh-CN"/>
        </w:rPr>
        <w:t>鼓励</w:t>
      </w:r>
      <w:r>
        <w:rPr>
          <w:rFonts w:hint="eastAsia" w:ascii="Times New Roman" w:hAnsi="Times New Roman" w:eastAsia="仿宋_GB2312" w:cs="Times New Roman"/>
          <w:color w:val="000000"/>
          <w:sz w:val="32"/>
          <w:szCs w:val="32"/>
          <w:highlight w:val="none"/>
          <w:lang w:eastAsia="zh-CN"/>
        </w:rPr>
        <w:t>科技龙头企业、知识产权服务业企业</w:t>
      </w:r>
      <w:r>
        <w:rPr>
          <w:rFonts w:hint="eastAsia" w:ascii="仿宋_GB2312" w:hAnsi="Times New Roman" w:eastAsia="仿宋_GB2312" w:cs="Times New Roman"/>
          <w:color w:val="000000"/>
          <w:sz w:val="32"/>
          <w:szCs w:val="32"/>
          <w:highlight w:val="none"/>
          <w:lang w:val="en-US" w:eastAsia="zh-CN"/>
        </w:rPr>
        <w:t>围绕战略性新兴产业及未来产业布局标准必要专利研发中心。到2030年，全市重点产业标准必要专利声明数量达6.2万件</w:t>
      </w:r>
      <w:r>
        <w:rPr>
          <w:rFonts w:hint="eastAsia" w:ascii="Times New Roman" w:hAnsi="Times New Roman" w:eastAsia="仿宋_GB2312" w:cs="Times New Roman"/>
          <w:color w:val="000000"/>
          <w:kern w:val="2"/>
          <w:sz w:val="32"/>
          <w:szCs w:val="32"/>
          <w:highlight w:val="none"/>
          <w:lang w:val="en-US" w:eastAsia="zh-CN" w:bidi="ar-SA"/>
        </w:rPr>
        <w:t>以上</w:t>
      </w:r>
      <w:r>
        <w:rPr>
          <w:rFonts w:hint="eastAsia" w:ascii="仿宋_GB2312" w:hAnsi="Times New Roman" w:eastAsia="仿宋_GB2312" w:cs="Times New Roman"/>
          <w:color w:val="000000"/>
          <w:sz w:val="32"/>
          <w:szCs w:val="32"/>
          <w:highlight w:val="none"/>
          <w:lang w:val="en-US" w:eastAsia="zh-CN"/>
        </w:rPr>
        <w:t>，标准必要专利海外同族声明数量达3.35万件</w:t>
      </w:r>
      <w:r>
        <w:rPr>
          <w:rFonts w:hint="eastAsia" w:ascii="Times New Roman" w:hAnsi="Times New Roman" w:eastAsia="仿宋_GB2312" w:cs="Times New Roman"/>
          <w:color w:val="000000"/>
          <w:kern w:val="2"/>
          <w:sz w:val="32"/>
          <w:szCs w:val="32"/>
          <w:highlight w:val="none"/>
          <w:lang w:val="en-US" w:eastAsia="zh-CN" w:bidi="ar-SA"/>
        </w:rPr>
        <w:t>以上</w:t>
      </w:r>
      <w:r>
        <w:rPr>
          <w:rFonts w:hint="eastAsia" w:ascii="仿宋_GB2312" w:hAnsi="Times New Roman" w:eastAsia="仿宋_GB2312" w:cs="Times New Roman"/>
          <w:color w:val="000000"/>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spacing w:line="579" w:lineRule="exact"/>
        <w:ind w:firstLine="642" w:firstLineChars="200"/>
        <w:textAlignment w:val="auto"/>
        <w:rPr>
          <w:rFonts w:ascii="Times New Roman" w:hAnsi="Times New Roman" w:eastAsia="仿宋_GB2312" w:cs="Times New Roman"/>
          <w:color w:val="000000"/>
          <w:sz w:val="32"/>
          <w:szCs w:val="32"/>
          <w:highlight w:val="none"/>
        </w:rPr>
      </w:pPr>
      <w:r>
        <w:rPr>
          <w:rFonts w:hint="eastAsia" w:ascii="楷体" w:hAnsi="楷体" w:eastAsia="楷体" w:cs="楷体"/>
          <w:b/>
          <w:bCs/>
          <w:i w:val="0"/>
          <w:iCs w:val="0"/>
          <w:caps w:val="0"/>
          <w:color w:val="auto"/>
          <w:spacing w:val="0"/>
          <w:kern w:val="0"/>
          <w:sz w:val="32"/>
          <w:szCs w:val="32"/>
          <w:highlight w:val="none"/>
          <w:lang w:val="en-US" w:eastAsia="zh-CN" w:bidi="ar-SA"/>
        </w:rPr>
        <w:t>10.深入实施商标品牌战略。</w:t>
      </w:r>
      <w:r>
        <w:rPr>
          <w:rFonts w:hint="eastAsia" w:ascii="Times New Roman" w:hAnsi="Times New Roman" w:eastAsia="仿宋_GB2312" w:cs="Times New Roman"/>
          <w:color w:val="000000"/>
          <w:sz w:val="32"/>
          <w:szCs w:val="32"/>
          <w:highlight w:val="none"/>
          <w:lang w:val="en-US" w:eastAsia="zh-CN"/>
        </w:rPr>
        <w:t>健全商标品牌指导站工作体系，建设</w:t>
      </w:r>
      <w:r>
        <w:rPr>
          <w:rFonts w:hint="eastAsia" w:ascii="Times New Roman" w:hAnsi="Times New Roman" w:eastAsia="仿宋_GB2312" w:cs="Times New Roman"/>
          <w:color w:val="000000"/>
          <w:sz w:val="32"/>
          <w:szCs w:val="32"/>
          <w:highlight w:val="none"/>
        </w:rPr>
        <w:t>一批具有示范带动作用的指导站</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rPr>
        <w:t>加强新产业、新业态、新模式等相关商品和</w:t>
      </w:r>
      <w:r>
        <w:rPr>
          <w:rFonts w:hint="eastAsia" w:ascii="仿宋_GB2312" w:hAnsi="Times New Roman" w:eastAsia="仿宋_GB2312" w:cs="Times New Roman"/>
          <w:color w:val="000000"/>
          <w:sz w:val="32"/>
          <w:szCs w:val="32"/>
          <w:highlight w:val="none"/>
          <w:lang w:val="en-US" w:eastAsia="zh-CN"/>
        </w:rPr>
        <w:t>服务</w:t>
      </w:r>
      <w:r>
        <w:rPr>
          <w:rFonts w:hint="eastAsia" w:ascii="Times New Roman" w:hAnsi="Times New Roman" w:eastAsia="仿宋_GB2312" w:cs="Times New Roman"/>
          <w:color w:val="000000"/>
          <w:sz w:val="32"/>
          <w:szCs w:val="32"/>
        </w:rPr>
        <w:t>的商标注册及运用。支持企业提高品牌管理能力，提升商标品牌创造、运用和保护水平。引导企业积极塑造深圳品牌良好形象，打造具有国际影响力的知名品牌。加强国家知识产权局商标业务深圳受理窗口、深圳前海受理窗口建</w:t>
      </w:r>
      <w:r>
        <w:rPr>
          <w:rFonts w:hint="eastAsia" w:ascii="仿宋_GB2312" w:hAnsi="Times New Roman" w:eastAsia="仿宋_GB2312" w:cs="Times New Roman"/>
          <w:color w:val="000000"/>
          <w:sz w:val="32"/>
          <w:szCs w:val="32"/>
          <w:highlight w:val="none"/>
          <w:lang w:val="en-US" w:eastAsia="zh-CN"/>
        </w:rPr>
        <w:t>设。支持开展马德里国际商标注册，“十五五”期间，马德里商标国际注册申请量达4000件</w:t>
      </w:r>
      <w:r>
        <w:rPr>
          <w:rFonts w:hint="eastAsia" w:ascii="Times New Roman" w:hAnsi="Times New Roman" w:eastAsia="仿宋_GB2312" w:cs="Times New Roman"/>
          <w:color w:val="000000"/>
          <w:kern w:val="2"/>
          <w:sz w:val="32"/>
          <w:szCs w:val="32"/>
          <w:highlight w:val="none"/>
          <w:lang w:val="en-US" w:eastAsia="zh-CN" w:bidi="ar-SA"/>
        </w:rPr>
        <w:t>以上</w:t>
      </w:r>
      <w:r>
        <w:rPr>
          <w:rFonts w:hint="eastAsia" w:ascii="仿宋_GB2312" w:hAnsi="Times New Roman" w:eastAsia="仿宋_GB2312" w:cs="Times New Roman"/>
          <w:color w:val="000000"/>
          <w:sz w:val="32"/>
          <w:szCs w:val="32"/>
          <w:highlight w:val="none"/>
          <w:lang w:val="en-US" w:eastAsia="zh-CN"/>
        </w:rPr>
        <w:t>。</w:t>
      </w:r>
    </w:p>
    <w:p>
      <w:pPr>
        <w:widowControl/>
        <w:numPr>
          <w:ilvl w:val="0"/>
          <w:numId w:val="0"/>
        </w:numPr>
        <w:spacing w:line="579" w:lineRule="exact"/>
        <w:ind w:left="0" w:leftChars="0" w:firstLine="642" w:firstLineChars="200"/>
        <w:outlineLvl w:val="2"/>
        <w:rPr>
          <w:rFonts w:hint="default" w:ascii="Times New Roman" w:hAnsi="Times New Roman" w:eastAsia="仿宋_GB2312" w:cs="Times New Roman"/>
          <w:color w:val="000000"/>
          <w:sz w:val="32"/>
          <w:szCs w:val="32"/>
          <w:highlight w:val="none"/>
          <w:lang w:val="en-US" w:eastAsia="zh-CN"/>
        </w:rPr>
      </w:pPr>
      <w:r>
        <w:rPr>
          <w:rFonts w:hint="eastAsia" w:ascii="楷体" w:hAnsi="楷体" w:eastAsia="楷体" w:cs="楷体"/>
          <w:b/>
          <w:bCs/>
          <w:i w:val="0"/>
          <w:iCs w:val="0"/>
          <w:caps w:val="0"/>
          <w:color w:val="auto"/>
          <w:spacing w:val="0"/>
          <w:kern w:val="0"/>
          <w:sz w:val="32"/>
          <w:szCs w:val="32"/>
          <w:highlight w:val="none"/>
          <w:lang w:val="en-US" w:eastAsia="zh-CN" w:bidi="ar-SA"/>
        </w:rPr>
        <w:t>11.运用版权赋能文化产业发展。</w:t>
      </w:r>
      <w:r>
        <w:rPr>
          <w:rFonts w:hint="eastAsia" w:ascii="Times New Roman" w:hAnsi="Times New Roman" w:eastAsia="仿宋_GB2312" w:cs="Times New Roman"/>
          <w:color w:val="000000"/>
          <w:sz w:val="32"/>
          <w:szCs w:val="32"/>
          <w:highlight w:val="none"/>
          <w:lang w:val="en-US" w:eastAsia="zh-CN"/>
        </w:rPr>
        <w:t>推进版权保护运用和文化产业融合发展，加强电竞、影视、微短剧、演艺等重点产业版权保护，</w:t>
      </w:r>
      <w:r>
        <w:rPr>
          <w:rFonts w:hint="eastAsia" w:ascii="仿宋_GB2312" w:hAnsi="仿宋_GB2312" w:eastAsia="仿宋_GB2312" w:cs="仿宋_GB2312"/>
          <w:color w:val="auto"/>
          <w:sz w:val="32"/>
          <w:szCs w:val="32"/>
          <w:highlight w:val="none"/>
          <w:shd w:val="clear" w:color="auto" w:fill="FFFFFF"/>
          <w:lang w:val="en-US" w:eastAsia="zh-CN"/>
        </w:rPr>
        <w:t>探索完善线上演播、沉浸式体验、数字艺术展示等文化新业态版权保护运用模式，加强游戏、动漫、影视、音乐等产业版权出海服务。</w:t>
      </w:r>
      <w:r>
        <w:rPr>
          <w:rFonts w:hint="eastAsia" w:ascii="Times New Roman" w:hAnsi="Times New Roman" w:eastAsia="仿宋_GB2312" w:cs="Times New Roman"/>
          <w:color w:val="000000"/>
          <w:sz w:val="32"/>
          <w:szCs w:val="32"/>
          <w:highlight w:val="none"/>
          <w:lang w:val="en-US" w:eastAsia="zh-CN"/>
        </w:rPr>
        <w:t>高质量承办好文化强国建设高峰论坛，强化文博会交易功能，打造全球最重要文化博览交易平台。</w:t>
      </w:r>
      <w:r>
        <w:rPr>
          <w:rFonts w:hint="eastAsia" w:ascii="仿宋_GB2312" w:hAnsi="仿宋_GB2312" w:eastAsia="仿宋_GB2312" w:cs="仿宋_GB2312"/>
          <w:color w:val="auto"/>
          <w:sz w:val="32"/>
          <w:szCs w:val="32"/>
          <w:highlight w:val="none"/>
          <w:shd w:val="clear" w:color="auto" w:fill="FFFFFF"/>
          <w:lang w:val="en-US" w:eastAsia="zh-CN"/>
        </w:rPr>
        <w:t>支持深圳文化产权交易所等平台升级版权登记、运营、交易、保护全链条服务</w:t>
      </w:r>
      <w:r>
        <w:rPr>
          <w:rFonts w:hint="eastAsia" w:ascii="Times New Roman" w:hAnsi="Times New Roman" w:eastAsia="仿宋_GB2312" w:cs="Times New Roman"/>
          <w:color w:val="000000"/>
          <w:sz w:val="32"/>
          <w:szCs w:val="32"/>
          <w:highlight w:val="none"/>
          <w:lang w:val="en-US" w:eastAsia="zh-CN"/>
        </w:rPr>
        <w:t>。深化深圳报业集团国际</w:t>
      </w:r>
      <w:r>
        <w:rPr>
          <w:rFonts w:hint="eastAsia" w:ascii="Times New Roman" w:hAnsi="Times New Roman" w:eastAsia="仿宋_GB2312" w:cs="Times New Roman"/>
          <w:color w:val="000000"/>
          <w:sz w:val="32"/>
          <w:szCs w:val="32"/>
          <w:highlight w:val="none"/>
        </w:rPr>
        <w:t>版权交易中心和</w:t>
      </w:r>
      <w:r>
        <w:rPr>
          <w:rFonts w:hint="eastAsia" w:ascii="Times New Roman" w:hAnsi="Times New Roman" w:eastAsia="仿宋_GB2312" w:cs="Times New Roman"/>
          <w:color w:val="000000"/>
          <w:sz w:val="32"/>
          <w:szCs w:val="32"/>
          <w:highlight w:val="none"/>
          <w:lang w:val="en-US" w:eastAsia="zh-CN"/>
        </w:rPr>
        <w:t>前海国家版权</w:t>
      </w:r>
      <w:r>
        <w:rPr>
          <w:rFonts w:hint="eastAsia" w:ascii="Times New Roman" w:hAnsi="Times New Roman" w:eastAsia="仿宋_GB2312" w:cs="Times New Roman"/>
          <w:color w:val="000000"/>
          <w:sz w:val="32"/>
          <w:szCs w:val="32"/>
          <w:highlight w:val="none"/>
        </w:rPr>
        <w:t>创新发展基地</w:t>
      </w:r>
      <w:r>
        <w:rPr>
          <w:rFonts w:hint="eastAsia" w:ascii="Times New Roman" w:hAnsi="Times New Roman" w:eastAsia="仿宋_GB2312" w:cs="Times New Roman"/>
          <w:color w:val="000000"/>
          <w:sz w:val="32"/>
          <w:szCs w:val="32"/>
          <w:highlight w:val="none"/>
          <w:lang w:val="en-US" w:eastAsia="zh-CN"/>
        </w:rPr>
        <w:t>建设，</w:t>
      </w:r>
      <w:r>
        <w:rPr>
          <w:rFonts w:hint="eastAsia" w:ascii="Times New Roman" w:hAnsi="Times New Roman" w:eastAsia="仿宋_GB2312" w:cs="Times New Roman"/>
          <w:color w:val="000000"/>
          <w:sz w:val="32"/>
          <w:szCs w:val="32"/>
          <w:highlight w:val="none"/>
        </w:rPr>
        <w:t>鼓励</w:t>
      </w:r>
      <w:r>
        <w:rPr>
          <w:rFonts w:hint="eastAsia" w:ascii="Times New Roman" w:hAnsi="Times New Roman" w:eastAsia="仿宋_GB2312" w:cs="Times New Roman"/>
          <w:color w:val="000000"/>
          <w:sz w:val="32"/>
          <w:szCs w:val="32"/>
          <w:highlight w:val="none"/>
          <w:lang w:val="en-US" w:eastAsia="zh-CN"/>
        </w:rPr>
        <w:t>各类</w:t>
      </w:r>
      <w:r>
        <w:rPr>
          <w:rFonts w:hint="eastAsia" w:ascii="Times New Roman" w:hAnsi="Times New Roman" w:eastAsia="仿宋_GB2312" w:cs="Times New Roman"/>
          <w:color w:val="000000"/>
          <w:sz w:val="32"/>
          <w:szCs w:val="32"/>
          <w:highlight w:val="none"/>
        </w:rPr>
        <w:t>市场主体共建版权交易数字化平台，推动版权交易数字化转型。</w:t>
      </w:r>
      <w:r>
        <w:rPr>
          <w:rFonts w:hint="eastAsia" w:ascii="Times New Roman" w:hAnsi="Times New Roman" w:eastAsia="仿宋_GB2312" w:cs="Times New Roman"/>
          <w:color w:val="000000"/>
          <w:sz w:val="32"/>
          <w:szCs w:val="32"/>
          <w:highlight w:val="none"/>
          <w:lang w:val="en-US" w:eastAsia="zh-CN"/>
        </w:rPr>
        <w:t>健全“文化出海”政策体系，加大版权作品国际宣传推广，推动更多优秀版权作品“走出去”。</w:t>
      </w:r>
    </w:p>
    <w:p>
      <w:pPr>
        <w:pStyle w:val="2"/>
        <w:keepNext w:val="0"/>
        <w:keepLines w:val="0"/>
        <w:pageBreakBefore w:val="0"/>
        <w:kinsoku/>
        <w:wordWrap/>
        <w:overflowPunct/>
        <w:topLinePunct w:val="0"/>
        <w:autoSpaceDE/>
        <w:autoSpaceDN/>
        <w:bidi w:val="0"/>
        <w:adjustRightInd/>
        <w:snapToGrid/>
        <w:spacing w:line="579" w:lineRule="exact"/>
        <w:ind w:left="0" w:leftChars="0" w:right="0" w:firstLine="640"/>
        <w:textAlignment w:val="auto"/>
        <w:rPr>
          <w:rFonts w:ascii="Times New Roman" w:hAnsi="Times New Roman" w:cs="Times New Roman"/>
          <w:highlight w:val="none"/>
        </w:rPr>
      </w:pPr>
      <w:r>
        <w:rPr>
          <w:rFonts w:hint="eastAsia" w:ascii="Times New Roman" w:hAnsi="Times New Roman" w:cs="Times New Roman"/>
          <w:highlight w:val="none"/>
          <w:lang w:val="en-US" w:eastAsia="zh-CN"/>
        </w:rPr>
        <w:t>五</w:t>
      </w:r>
      <w:r>
        <w:rPr>
          <w:rFonts w:hint="eastAsia" w:ascii="Times New Roman" w:hAnsi="Times New Roman" w:cs="Times New Roman"/>
          <w:highlight w:val="none"/>
          <w:lang w:val="en"/>
        </w:rPr>
        <w:t>、</w:t>
      </w:r>
      <w:r>
        <w:rPr>
          <w:rFonts w:hint="eastAsia" w:ascii="Times New Roman" w:hAnsi="Times New Roman" w:cs="Times New Roman"/>
          <w:highlight w:val="none"/>
          <w:lang w:val="en-US" w:eastAsia="zh-CN"/>
        </w:rPr>
        <w:t>打造</w:t>
      </w:r>
      <w:r>
        <w:rPr>
          <w:rFonts w:hint="eastAsia" w:ascii="Times New Roman" w:hAnsi="Times New Roman" w:cs="Times New Roman"/>
          <w:highlight w:val="none"/>
        </w:rPr>
        <w:t>知识产权转化运用枢纽</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仿宋_GB2312" w:cs="Times New Roman"/>
          <w:color w:val="000000"/>
          <w:sz w:val="32"/>
          <w:szCs w:val="32"/>
          <w:highlight w:val="none"/>
          <w:lang w:val="en-US" w:eastAsia="zh-CN"/>
        </w:rPr>
      </w:pPr>
      <w:r>
        <w:rPr>
          <w:rFonts w:hint="eastAsia" w:ascii="楷体" w:hAnsi="楷体" w:eastAsia="楷体" w:cs="楷体"/>
          <w:b/>
          <w:bCs/>
          <w:i w:val="0"/>
          <w:iCs w:val="0"/>
          <w:caps w:val="0"/>
          <w:color w:val="auto"/>
          <w:spacing w:val="0"/>
          <w:kern w:val="0"/>
          <w:sz w:val="32"/>
          <w:szCs w:val="32"/>
          <w:highlight w:val="none"/>
          <w:shd w:val="clear" w:color="auto" w:fill="auto"/>
          <w:lang w:val="en-US" w:eastAsia="zh-CN"/>
        </w:rPr>
        <w:t>12.完善知识产权运营体系。</w:t>
      </w:r>
      <w:r>
        <w:rPr>
          <w:rFonts w:hint="eastAsia" w:ascii="Times New Roman" w:hAnsi="Times New Roman" w:eastAsia="仿宋_GB2312" w:cs="Times New Roman"/>
          <w:i w:val="0"/>
          <w:iCs w:val="0"/>
          <w:caps w:val="0"/>
          <w:color w:val="000000"/>
          <w:spacing w:val="0"/>
          <w:sz w:val="32"/>
          <w:szCs w:val="32"/>
          <w:highlight w:val="none"/>
          <w:shd w:val="clear" w:color="auto" w:fill="auto"/>
          <w:lang w:val="en-US" w:eastAsia="zh-CN"/>
        </w:rPr>
        <w:t>加快构建政府引导、企业主导、开放协同、运行高效的知识产权转化运用生态，加强国家、省、市三级知识产权运营服务平台与科技、产业、金融、教育、文化、人才等各类平台载体的协同联动。健全专利动态盘点盘活和分级管理工作机制，探索利用人工智能进行技术供需分析、应用场景构建，积极推广“先使用后付费”“开放许可”等专利转化模式。充分利用概念验证中心、小试中试基地等平台资源，提高产业化项</w:t>
      </w:r>
      <w:r>
        <w:rPr>
          <w:rFonts w:hint="eastAsia" w:ascii="仿宋_GB2312" w:hAnsi="Times New Roman" w:eastAsia="仿宋_GB2312" w:cs="Times New Roman"/>
          <w:color w:val="000000"/>
          <w:sz w:val="32"/>
          <w:szCs w:val="32"/>
          <w:highlight w:val="none"/>
          <w:lang w:val="en-US" w:eastAsia="zh-CN"/>
        </w:rPr>
        <w:t>目实施效率和成功率。推进实现技术合同登记与专利转让、许可登记备案信息共享。“十五五”期间，全市专利权转让许可总数达16万次以上。到2030年，全市技术合同成交额达2000亿元</w:t>
      </w:r>
      <w:r>
        <w:rPr>
          <w:rFonts w:hint="eastAsia" w:ascii="Times New Roman" w:hAnsi="Times New Roman" w:eastAsia="仿宋_GB2312" w:cs="Times New Roman"/>
          <w:color w:val="000000"/>
          <w:kern w:val="2"/>
          <w:sz w:val="32"/>
          <w:szCs w:val="32"/>
          <w:highlight w:val="none"/>
          <w:lang w:val="en-US" w:eastAsia="zh-CN" w:bidi="ar-SA"/>
        </w:rPr>
        <w:t>以上</w:t>
      </w:r>
      <w:r>
        <w:rPr>
          <w:rFonts w:hint="eastAsia" w:ascii="仿宋_GB2312" w:hAnsi="Times New Roman" w:eastAsia="仿宋_GB2312" w:cs="Times New Roman"/>
          <w:color w:val="000000"/>
          <w:sz w:val="32"/>
          <w:szCs w:val="32"/>
          <w:highlight w:val="none"/>
          <w:lang w:val="en-US" w:eastAsia="zh-CN"/>
        </w:rPr>
        <w:t>。</w:t>
      </w:r>
    </w:p>
    <w:p>
      <w:pPr>
        <w:numPr>
          <w:ilvl w:val="0"/>
          <w:numId w:val="0"/>
        </w:numPr>
        <w:spacing w:line="579" w:lineRule="exact"/>
        <w:ind w:firstLine="642" w:firstLineChars="200"/>
        <w:rPr>
          <w:rFonts w:hint="default" w:ascii="Times New Roman" w:hAnsi="Times New Roman" w:eastAsia="仿宋_GB2312" w:cs="Times New Roman"/>
          <w:highlight w:val="none"/>
          <w:lang w:val="en-US" w:eastAsia="zh-CN"/>
        </w:rPr>
      </w:pPr>
      <w:r>
        <w:rPr>
          <w:rFonts w:hint="eastAsia" w:ascii="楷体" w:hAnsi="楷体" w:eastAsia="楷体" w:cs="楷体"/>
          <w:b/>
          <w:bCs/>
          <w:i w:val="0"/>
          <w:iCs w:val="0"/>
          <w:caps w:val="0"/>
          <w:color w:val="auto"/>
          <w:spacing w:val="0"/>
          <w:kern w:val="0"/>
          <w:sz w:val="32"/>
          <w:szCs w:val="32"/>
          <w:highlight w:val="none"/>
          <w:shd w:val="clear" w:color="auto" w:fill="auto"/>
          <w:lang w:val="en-US" w:eastAsia="zh-CN"/>
        </w:rPr>
        <w:t>13.大力发展专利密集型产业。</w:t>
      </w:r>
      <w:r>
        <w:rPr>
          <w:rFonts w:hint="eastAsia" w:ascii="Times New Roman" w:hAnsi="Times New Roman" w:eastAsia="仿宋_GB2312" w:cs="Times New Roman"/>
          <w:i w:val="0"/>
          <w:iCs w:val="0"/>
          <w:caps w:val="0"/>
          <w:color w:val="000000"/>
          <w:spacing w:val="0"/>
          <w:sz w:val="32"/>
          <w:szCs w:val="32"/>
          <w:highlight w:val="none"/>
          <w:shd w:val="clear" w:color="auto" w:fill="auto"/>
          <w:lang w:val="en-US" w:eastAsia="zh-CN"/>
        </w:rPr>
        <w:t>加大对专利产业化样板企业培育库入库企业的支持力度，组织实施技术需求对接、产业化配套服务、投融资扶持、上市知识产权服务等重点培育举措，推动入库企业通过专利产业化形成专利密集型产品，进入产业链供应链。</w:t>
      </w:r>
      <w:r>
        <w:rPr>
          <w:rFonts w:hint="eastAsia" w:ascii="Times New Roman" w:hAnsi="Times New Roman" w:eastAsia="仿宋_GB2312" w:cs="Times New Roman"/>
          <w:color w:val="000000"/>
          <w:sz w:val="32"/>
          <w:szCs w:val="32"/>
          <w:highlight w:val="none"/>
        </w:rPr>
        <w:t>提高科技型企业专利产品备案质量和数量，建设专利密集型产品培育推广平台，构建专利密集型产品“培育—备案—认定—推广”全流程管理体系。促进新技术新产品新业态新模式新场景的</w:t>
      </w:r>
      <w:r>
        <w:rPr>
          <w:rFonts w:hint="eastAsia" w:ascii="Times New Roman" w:hAnsi="Times New Roman" w:eastAsia="仿宋_GB2312" w:cs="Times New Roman"/>
          <w:color w:val="000000"/>
          <w:sz w:val="32"/>
          <w:szCs w:val="32"/>
          <w:highlight w:val="none"/>
          <w:lang w:val="en-US" w:eastAsia="zh-CN"/>
        </w:rPr>
        <w:t>专利</w:t>
      </w:r>
      <w:r>
        <w:rPr>
          <w:rFonts w:hint="eastAsia" w:ascii="Times New Roman" w:hAnsi="Times New Roman" w:eastAsia="仿宋_GB2312" w:cs="Times New Roman"/>
          <w:color w:val="000000"/>
          <w:sz w:val="32"/>
          <w:szCs w:val="32"/>
          <w:highlight w:val="none"/>
        </w:rPr>
        <w:t>运用，支持重点产业、重点产品、重点集群、重点企业加快乃至超常规发展</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打造集成电路、航空航天、生物医药、低空经济等新兴支柱产业</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培育发展未来能源、量子科技、具身智能、脑机接口、</w:t>
      </w:r>
      <w:r>
        <w:rPr>
          <w:rFonts w:hint="eastAsia" w:ascii="Times New Roman" w:hAnsi="Times New Roman" w:eastAsia="仿宋_GB2312" w:cs="Times New Roman"/>
          <w:color w:val="000000"/>
          <w:sz w:val="32"/>
          <w:szCs w:val="32"/>
          <w:highlight w:val="none"/>
          <w:lang w:val="en-US" w:eastAsia="zh-CN"/>
        </w:rPr>
        <w:t>第六代移动通信</w:t>
      </w:r>
      <w:r>
        <w:rPr>
          <w:rFonts w:hint="eastAsia" w:ascii="Times New Roman" w:hAnsi="Times New Roman" w:eastAsia="仿宋_GB2312" w:cs="Times New Roman"/>
          <w:color w:val="000000"/>
          <w:sz w:val="32"/>
          <w:szCs w:val="32"/>
          <w:highlight w:val="none"/>
        </w:rPr>
        <w:t>等未来产业。</w:t>
      </w:r>
      <w:r>
        <w:rPr>
          <w:rFonts w:hint="eastAsia" w:ascii="Times New Roman" w:hAnsi="Times New Roman" w:eastAsia="仿宋_GB2312" w:cs="Times New Roman"/>
          <w:i w:val="0"/>
          <w:iCs w:val="0"/>
          <w:caps w:val="0"/>
          <w:color w:val="000000"/>
          <w:spacing w:val="0"/>
          <w:sz w:val="32"/>
          <w:szCs w:val="32"/>
          <w:highlight w:val="none"/>
          <w:shd w:val="clear" w:color="auto" w:fill="auto"/>
          <w:lang w:val="en-US" w:eastAsia="zh-CN"/>
        </w:rPr>
        <w:t>强化商标品牌与专利密集型产品的协同联动，促进专利</w:t>
      </w:r>
      <w:r>
        <w:rPr>
          <w:rFonts w:hint="eastAsia" w:ascii="仿宋_GB2312" w:hAnsi="Times New Roman" w:eastAsia="仿宋_GB2312" w:cs="Times New Roman"/>
          <w:color w:val="000000"/>
          <w:sz w:val="32"/>
          <w:szCs w:val="32"/>
          <w:highlight w:val="none"/>
          <w:lang w:val="en-US" w:eastAsia="zh-CN"/>
        </w:rPr>
        <w:t>价值在产品端充分显现。健全深圳市专利密集型产业增加值核算统计机制。“十五五”期间，专利备案产品件数达4000件</w:t>
      </w:r>
      <w:r>
        <w:rPr>
          <w:rFonts w:hint="eastAsia" w:ascii="Times New Roman" w:hAnsi="Times New Roman" w:eastAsia="仿宋_GB2312" w:cs="Times New Roman"/>
          <w:color w:val="000000"/>
          <w:kern w:val="2"/>
          <w:sz w:val="32"/>
          <w:szCs w:val="32"/>
          <w:highlight w:val="none"/>
          <w:lang w:val="en-US" w:eastAsia="zh-CN" w:bidi="ar-SA"/>
        </w:rPr>
        <w:t>以上</w:t>
      </w:r>
      <w:r>
        <w:rPr>
          <w:rFonts w:hint="eastAsia" w:ascii="仿宋_GB2312" w:hAnsi="Times New Roman" w:eastAsia="仿宋_GB2312" w:cs="Times New Roman"/>
          <w:color w:val="000000"/>
          <w:sz w:val="32"/>
          <w:szCs w:val="32"/>
          <w:highlight w:val="none"/>
          <w:lang w:val="en-US" w:eastAsia="zh-CN"/>
        </w:rPr>
        <w:t>。</w:t>
      </w:r>
    </w:p>
    <w:p>
      <w:pPr>
        <w:spacing w:line="600" w:lineRule="exact"/>
        <w:ind w:firstLine="642" w:firstLineChars="200"/>
        <w:rPr>
          <w:rFonts w:hint="eastAsia" w:ascii="Times New Roman" w:hAnsi="Times New Roman" w:eastAsia="仿宋_GB2312" w:cs="Times New Roman"/>
          <w:color w:val="000000"/>
          <w:sz w:val="32"/>
          <w:szCs w:val="32"/>
          <w:highlight w:val="none"/>
        </w:rPr>
      </w:pPr>
      <w:r>
        <w:rPr>
          <w:rFonts w:hint="eastAsia" w:ascii="楷体" w:hAnsi="楷体" w:eastAsia="楷体" w:cs="楷体"/>
          <w:b/>
          <w:bCs/>
          <w:i w:val="0"/>
          <w:iCs w:val="0"/>
          <w:caps w:val="0"/>
          <w:color w:val="auto"/>
          <w:spacing w:val="0"/>
          <w:kern w:val="0"/>
          <w:sz w:val="32"/>
          <w:szCs w:val="32"/>
          <w:highlight w:val="none"/>
          <w:shd w:val="clear" w:color="auto" w:fill="auto"/>
          <w:lang w:val="en-US" w:eastAsia="zh-CN"/>
        </w:rPr>
        <w:t>14.健全产业知识产权协同发展机制。</w:t>
      </w:r>
      <w:r>
        <w:rPr>
          <w:rFonts w:hint="eastAsia" w:ascii="Times New Roman" w:hAnsi="Times New Roman" w:eastAsia="仿宋_GB2312" w:cs="Times New Roman"/>
          <w:i w:val="0"/>
          <w:iCs w:val="0"/>
          <w:caps w:val="0"/>
          <w:color w:val="000000"/>
          <w:spacing w:val="0"/>
          <w:sz w:val="32"/>
          <w:szCs w:val="32"/>
          <w:highlight w:val="none"/>
          <w:shd w:val="clear" w:color="auto" w:fill="auto"/>
          <w:lang w:val="en-US" w:eastAsia="zh-CN"/>
        </w:rPr>
        <w:t>推动组建重点产业知识产权创新联合体，在联合科技攻关和产业化合作中共同培育运营高价值专利，形成信息共通、利益共享、风险共担的协作范式。高标准布局建设一批统筹集聚产业链资源、服务专利产业化的产业知识产权运营中心。支持建设重点领域高质量专利池，按照市场化、规</w:t>
      </w:r>
      <w:r>
        <w:rPr>
          <w:rFonts w:hint="eastAsia" w:ascii="仿宋_GB2312" w:hAnsi="Times New Roman" w:eastAsia="仿宋_GB2312" w:cs="Times New Roman"/>
          <w:color w:val="000000"/>
          <w:sz w:val="32"/>
          <w:szCs w:val="32"/>
          <w:highlight w:val="none"/>
          <w:lang w:val="en-US" w:eastAsia="zh-CN"/>
        </w:rPr>
        <w:t>范化、国际化原则，实现可持续运行。促进数字技术专利产业化应用，2030年数字经济核心产业有效发明专利占比达70%以上。加强绿色技术专利动态监测、布局和转化运用，到2030年，全市绿色低碳发明专利占比达9.5%</w:t>
      </w:r>
      <w:r>
        <w:rPr>
          <w:rFonts w:hint="eastAsia" w:ascii="Times New Roman" w:hAnsi="Times New Roman" w:eastAsia="仿宋_GB2312" w:cs="Times New Roman"/>
          <w:color w:val="000000"/>
          <w:kern w:val="2"/>
          <w:sz w:val="32"/>
          <w:szCs w:val="32"/>
          <w:highlight w:val="none"/>
          <w:lang w:val="en-US" w:eastAsia="zh-CN" w:bidi="ar-SA"/>
        </w:rPr>
        <w:t>以上</w:t>
      </w:r>
      <w:r>
        <w:rPr>
          <w:rFonts w:hint="eastAsia" w:ascii="仿宋_GB2312" w:hAnsi="Times New Roman" w:eastAsia="仿宋_GB2312" w:cs="Times New Roman"/>
          <w:color w:val="000000"/>
          <w:sz w:val="32"/>
          <w:szCs w:val="32"/>
          <w:highlight w:val="none"/>
          <w:lang w:val="en-US" w:eastAsia="zh-CN"/>
        </w:rPr>
        <w:t>。</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jc w:val="center"/>
              <w:rPr>
                <w:rFonts w:hint="default" w:ascii="Times New Roman" w:hAnsi="Times New Roman" w:cs="Times New Roman"/>
                <w:color w:val="000000"/>
                <w:highlight w:val="none"/>
              </w:rPr>
            </w:pPr>
            <w:r>
              <w:rPr>
                <w:rFonts w:hint="eastAsia" w:ascii="Times New Roman" w:hAnsi="Times New Roman" w:cs="Times New Roman"/>
                <w:color w:val="000000"/>
                <w:highlight w:val="none"/>
              </w:rPr>
              <w:t>专栏</w:t>
            </w:r>
            <w:r>
              <w:rPr>
                <w:rFonts w:hint="eastAsia" w:ascii="Times New Roman" w:hAnsi="Times New Roman" w:cs="Times New Roman"/>
                <w:color w:val="000000"/>
                <w:highlight w:val="none"/>
                <w:lang w:val="en-US" w:eastAsia="zh-CN"/>
              </w:rPr>
              <w:t>7</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rPr>
              <w:t>知识产权</w:t>
            </w:r>
            <w:r>
              <w:rPr>
                <w:rFonts w:hint="eastAsia" w:ascii="Times New Roman" w:hAnsi="Times New Roman" w:cs="Times New Roman"/>
                <w:color w:val="000000"/>
                <w:highlight w:val="none"/>
                <w:lang w:val="en-US" w:eastAsia="zh-CN"/>
              </w:rPr>
              <w:t>赋能产业</w:t>
            </w:r>
            <w:r>
              <w:rPr>
                <w:rFonts w:hint="eastAsia" w:ascii="Times New Roman" w:hAnsi="Times New Roman" w:cs="Times New Roman"/>
                <w:color w:val="000000"/>
                <w:highlight w:val="none"/>
              </w:rPr>
              <w:t>发展工程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noWrap w:val="0"/>
            <w:vAlign w:val="top"/>
          </w:tcPr>
          <w:p>
            <w:pPr>
              <w:keepNext w:val="0"/>
              <w:keepLines w:val="0"/>
              <w:suppressLineNumbers w:val="0"/>
              <w:spacing w:before="0" w:beforeAutospacing="0" w:after="0" w:afterAutospacing="0"/>
              <w:ind w:left="0" w:right="0" w:firstLine="420" w:firstLineChars="200"/>
              <w:rPr>
                <w:rFonts w:hint="eastAsia" w:ascii="Times New Roman" w:hAnsi="Times New Roman" w:cs="Times New Roman"/>
                <w:color w:val="000000"/>
                <w:highlight w:val="none"/>
                <w:lang w:eastAsia="zh-CN"/>
              </w:rPr>
            </w:pPr>
            <w:r>
              <w:rPr>
                <w:rFonts w:hint="eastAsia" w:ascii="Times New Roman" w:hAnsi="Times New Roman" w:cs="Times New Roman"/>
                <w:color w:val="000000"/>
                <w:highlight w:val="none"/>
              </w:rPr>
              <w:t>推进</w:t>
            </w:r>
            <w:r>
              <w:rPr>
                <w:rFonts w:hint="eastAsia" w:ascii="Times New Roman" w:hAnsi="Times New Roman" w:cs="Times New Roman"/>
                <w:color w:val="000000"/>
                <w:highlight w:val="none"/>
                <w:lang w:val="en-US" w:eastAsia="zh-CN"/>
              </w:rPr>
              <w:t>重点产业</w:t>
            </w:r>
            <w:r>
              <w:rPr>
                <w:rFonts w:hint="eastAsia" w:ascii="Times New Roman" w:hAnsi="Times New Roman" w:cs="Times New Roman"/>
                <w:color w:val="000000"/>
                <w:highlight w:val="none"/>
              </w:rPr>
              <w:t>知识产权强链增效。聚焦</w:t>
            </w:r>
            <w:r>
              <w:rPr>
                <w:rFonts w:hint="eastAsia" w:ascii="Times New Roman" w:hAnsi="Times New Roman" w:cs="Times New Roman"/>
                <w:color w:val="000000"/>
                <w:highlight w:val="none"/>
                <w:lang w:val="en-US" w:eastAsia="zh-CN"/>
              </w:rPr>
              <w:t>低空经济、机器人、人工智能、新能源、生物医药等</w:t>
            </w:r>
            <w:r>
              <w:rPr>
                <w:rFonts w:hint="eastAsia" w:ascii="Times New Roman" w:hAnsi="Times New Roman" w:cs="Times New Roman"/>
                <w:color w:val="000000"/>
                <w:highlight w:val="none"/>
              </w:rPr>
              <w:t>重点产业，依托龙头企业、产业园区、行业组织、科研机构等为建设主体，整合产学研上下游企业创新要素，</w:t>
            </w:r>
            <w:r>
              <w:rPr>
                <w:rFonts w:hint="eastAsia" w:ascii="Times New Roman" w:hAnsi="Times New Roman" w:cs="Times New Roman"/>
                <w:color w:val="000000"/>
                <w:highlight w:val="none"/>
                <w:lang w:eastAsia="zh-CN"/>
              </w:rPr>
              <w:t>开展专利信息分析、专利导航、</w:t>
            </w:r>
            <w:r>
              <w:rPr>
                <w:rFonts w:hint="eastAsia" w:ascii="Times New Roman" w:hAnsi="Times New Roman" w:cs="Times New Roman"/>
                <w:color w:val="000000"/>
                <w:highlight w:val="none"/>
              </w:rPr>
              <w:t>转化对接、投融资</w:t>
            </w:r>
            <w:r>
              <w:rPr>
                <w:rFonts w:hint="eastAsia" w:ascii="Times New Roman" w:hAnsi="Times New Roman" w:cs="Times New Roman"/>
                <w:color w:val="000000"/>
                <w:highlight w:val="none"/>
                <w:lang w:eastAsia="zh-CN"/>
              </w:rPr>
              <w:t>等专业化服务。</w:t>
            </w:r>
          </w:p>
          <w:p>
            <w:pPr>
              <w:keepNext w:val="0"/>
              <w:keepLines w:val="0"/>
              <w:suppressLineNumbers w:val="0"/>
              <w:spacing w:before="0" w:beforeAutospacing="0" w:after="0" w:afterAutospacing="0"/>
              <w:ind w:left="0" w:right="0" w:firstLine="420" w:firstLineChars="200"/>
              <w:rPr>
                <w:rFonts w:hint="eastAsia" w:ascii="Times New Roman" w:hAnsi="Times New Roman" w:cs="Times New Roman"/>
                <w:color w:val="000000"/>
                <w:highlight w:val="none"/>
                <w:lang w:eastAsia="zh-CN"/>
              </w:rPr>
            </w:pPr>
            <w:r>
              <w:rPr>
                <w:rFonts w:hint="eastAsia" w:ascii="Times New Roman" w:hAnsi="Times New Roman" w:cs="Times New Roman"/>
                <w:color w:val="000000"/>
                <w:highlight w:val="none"/>
                <w:lang w:eastAsia="zh-CN"/>
              </w:rPr>
              <w:t>开展专利技术转化对接。持续深化高校和科研机构存量专利梳理盘活工作，梳理产业链企业的专利技术需求，组织开展专利技术筛选评价、供需对接、路演推介、交易撮合等活动，为供需双方提供转化对接、改进研发合作、投融资等具有产业链特色的专业化、“一站式”服务，探索形成在产业领域中行之有效、可供推广复制的专利转化对接路径模式。</w:t>
            </w:r>
          </w:p>
          <w:p>
            <w:pPr>
              <w:keepNext w:val="0"/>
              <w:keepLines w:val="0"/>
              <w:suppressLineNumbers w:val="0"/>
              <w:spacing w:before="0" w:beforeAutospacing="0" w:after="0" w:afterAutospacing="0"/>
              <w:ind w:left="0" w:right="0" w:firstLine="420" w:firstLineChars="200"/>
              <w:rPr>
                <w:rFonts w:hint="default" w:ascii="Times New Roman" w:hAnsi="Times New Roman" w:eastAsia="宋体" w:cs="Times New Roman"/>
                <w:color w:val="000000"/>
                <w:highlight w:val="none"/>
                <w:lang w:val="en-US" w:eastAsia="zh-CN"/>
              </w:rPr>
            </w:pPr>
            <w:r>
              <w:rPr>
                <w:rFonts w:hint="eastAsia" w:ascii="Times New Roman" w:hAnsi="Times New Roman" w:cs="Times New Roman"/>
                <w:color w:val="000000"/>
                <w:highlight w:val="none"/>
                <w:lang w:eastAsia="zh-CN"/>
              </w:rPr>
              <w:t>搭建更多创新平台载体。加快国家生物制造、第三代半导体、高性能医疗器械、5G中高频器件、超高清视频、分子药物等创新中心建设，发展基于企业、大学、研究机构的各类公共创新平台载体，加快建设人工智能、智能网联、低空飞行、药物临床等概念验证和中试验证平台，支撑相关领域</w:t>
            </w:r>
            <w:r>
              <w:rPr>
                <w:rFonts w:hint="eastAsia" w:ascii="Times New Roman" w:hAnsi="Times New Roman" w:cs="Times New Roman"/>
                <w:color w:val="000000"/>
                <w:highlight w:val="none"/>
                <w:lang w:val="en-US" w:eastAsia="zh-CN"/>
              </w:rPr>
              <w:t>知识产权</w:t>
            </w:r>
            <w:r>
              <w:rPr>
                <w:rFonts w:hint="eastAsia" w:ascii="Times New Roman" w:hAnsi="Times New Roman" w:cs="Times New Roman"/>
                <w:color w:val="000000"/>
                <w:highlight w:val="none"/>
                <w:lang w:eastAsia="zh-CN"/>
              </w:rPr>
              <w:t>成果转化和产业升级。</w:t>
            </w:r>
          </w:p>
        </w:tc>
      </w:tr>
    </w:tbl>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仿宋_GB2312" w:cs="Times New Roman"/>
          <w:snapToGrid w:val="0"/>
          <w:sz w:val="32"/>
          <w:szCs w:val="32"/>
          <w:highlight w:val="none"/>
          <w:lang w:bidi="ar"/>
        </w:rPr>
      </w:pPr>
      <w:r>
        <w:rPr>
          <w:rFonts w:hint="eastAsia" w:ascii="楷体" w:hAnsi="楷体" w:eastAsia="楷体" w:cs="楷体"/>
          <w:b/>
          <w:bCs/>
          <w:i w:val="0"/>
          <w:iCs w:val="0"/>
          <w:caps w:val="0"/>
          <w:color w:val="auto"/>
          <w:spacing w:val="0"/>
          <w:kern w:val="0"/>
          <w:sz w:val="32"/>
          <w:szCs w:val="32"/>
          <w:highlight w:val="none"/>
          <w:lang w:val="en-US" w:eastAsia="zh-CN" w:bidi="ar-SA"/>
        </w:rPr>
        <w:t>15.打造知识产权金融生态综合试验区。</w:t>
      </w:r>
      <w:r>
        <w:rPr>
          <w:rFonts w:hint="eastAsia" w:ascii="仿宋_GB2312" w:hAnsi="仿宋_GB2312" w:eastAsia="仿宋_GB2312" w:cs="仿宋_GB2312"/>
          <w:b w:val="0"/>
          <w:bCs w:val="0"/>
          <w:color w:val="auto"/>
          <w:sz w:val="32"/>
          <w:szCs w:val="32"/>
          <w:highlight w:val="none"/>
          <w:shd w:val="clear" w:color="auto" w:fill="auto"/>
          <w:lang w:val="en-US" w:eastAsia="zh-CN"/>
        </w:rPr>
        <w:t>聚焦知识产权金融创新赋能产业融合发展，</w:t>
      </w:r>
      <w:r>
        <w:rPr>
          <w:rFonts w:hint="eastAsia" w:ascii="Times New Roman" w:hAnsi="Times New Roman" w:eastAsia="仿宋_GB2312" w:cs="Times New Roman"/>
          <w:i w:val="0"/>
          <w:iCs w:val="0"/>
          <w:caps w:val="0"/>
          <w:color w:val="000000"/>
          <w:spacing w:val="0"/>
          <w:sz w:val="32"/>
          <w:szCs w:val="32"/>
          <w:highlight w:val="none"/>
          <w:shd w:val="clear" w:color="auto" w:fill="auto"/>
          <w:lang w:val="en-US" w:eastAsia="zh-CN"/>
        </w:rPr>
        <w:t>探索研究制定符合深圳特点的专利、商标、版权、数据知识产权价值评估指引或规范。持续完善市区两级知识产权金融扶持政策体系，大力支持知识产权质押融资、保险、证券化等业务。支持保险机构完善知识产权保险体系，为创新主体提供知识产权综合保险方案。指导信托机构创新知识产权信托业务，提供知识产权权益管理、保护、代际传承、公益慈善等服务。持续完善知识产权质押融资风险补偿机制，进一步落实“先拨付后清算”的风险补偿前置模式。探索商业秘密质押融资模式。</w:t>
      </w:r>
      <w:r>
        <w:rPr>
          <w:rFonts w:hint="eastAsia" w:ascii="Times New Roman" w:hAnsi="Times New Roman" w:eastAsia="仿宋_GB2312" w:cs="Times New Roman"/>
          <w:snapToGrid w:val="0"/>
          <w:sz w:val="32"/>
          <w:szCs w:val="32"/>
          <w:highlight w:val="none"/>
          <w:lang w:bidi="ar"/>
        </w:rPr>
        <w:t>推动知识产权</w:t>
      </w:r>
      <w:r>
        <w:rPr>
          <w:rFonts w:hint="eastAsia" w:ascii="Times New Roman" w:hAnsi="Times New Roman" w:eastAsia="仿宋_GB2312" w:cs="Times New Roman"/>
          <w:snapToGrid/>
          <w:color w:val="000000"/>
          <w:sz w:val="32"/>
          <w:szCs w:val="32"/>
          <w:highlight w:val="none"/>
          <w:shd w:val="clear" w:color="auto" w:fill="auto"/>
          <w:lang w:bidi="ar"/>
        </w:rPr>
        <w:t>质押融资“鹏知贷”系列产品迭代升级</w:t>
      </w:r>
      <w:r>
        <w:rPr>
          <w:rFonts w:hint="eastAsia" w:ascii="Times New Roman" w:hAnsi="Times New Roman" w:eastAsia="仿宋_GB2312" w:cs="Times New Roman"/>
          <w:snapToGrid/>
          <w:color w:val="000000"/>
          <w:sz w:val="32"/>
          <w:szCs w:val="32"/>
          <w:highlight w:val="none"/>
          <w:shd w:val="clear" w:color="auto" w:fill="auto"/>
          <w:lang w:eastAsia="zh-CN" w:bidi="ar"/>
        </w:rPr>
        <w:t>，</w:t>
      </w:r>
      <w:r>
        <w:rPr>
          <w:rFonts w:hint="eastAsia" w:ascii="Times New Roman" w:hAnsi="Times New Roman" w:eastAsia="仿宋_GB2312" w:cs="Times New Roman"/>
          <w:snapToGrid/>
          <w:color w:val="000000"/>
          <w:sz w:val="32"/>
          <w:szCs w:val="32"/>
          <w:highlight w:val="none"/>
          <w:shd w:val="clear" w:color="auto" w:fill="auto"/>
          <w:lang w:val="en-US" w:eastAsia="zh-CN" w:bidi="ar"/>
        </w:rPr>
        <w:t>促进</w:t>
      </w:r>
      <w:r>
        <w:rPr>
          <w:rFonts w:hint="eastAsia" w:ascii="Times New Roman" w:hAnsi="Times New Roman" w:eastAsia="仿宋_GB2312" w:cs="Times New Roman"/>
          <w:snapToGrid/>
          <w:color w:val="000000"/>
          <w:sz w:val="32"/>
          <w:szCs w:val="32"/>
          <w:highlight w:val="none"/>
          <w:shd w:val="clear" w:color="auto" w:fill="auto"/>
          <w:lang w:eastAsia="zh-CN" w:bidi="ar"/>
        </w:rPr>
        <w:t>知识产权证券化等金融产品创新，</w:t>
      </w:r>
      <w:r>
        <w:rPr>
          <w:rFonts w:hint="eastAsia" w:ascii="Times New Roman" w:hAnsi="Times New Roman" w:eastAsia="仿宋_GB2312" w:cs="Times New Roman"/>
          <w:color w:val="000000"/>
          <w:sz w:val="32"/>
          <w:szCs w:val="32"/>
          <w:highlight w:val="none"/>
          <w:shd w:val="clear" w:color="auto" w:fill="auto"/>
        </w:rPr>
        <w:t>引导金融机构加力支持扩大内需、科技创新、中小微企业等重点领域。</w:t>
      </w:r>
      <w:r>
        <w:rPr>
          <w:rFonts w:hint="eastAsia" w:ascii="Times New Roman" w:hAnsi="Times New Roman" w:eastAsia="仿宋_GB2312" w:cs="Times New Roman"/>
          <w:snapToGrid w:val="0"/>
          <w:sz w:val="32"/>
          <w:szCs w:val="32"/>
          <w:highlight w:val="none"/>
          <w:lang w:eastAsia="zh-CN" w:bidi="ar"/>
        </w:rPr>
        <w:t>“十五五”期间，知识产权质押融资</w:t>
      </w:r>
      <w:r>
        <w:rPr>
          <w:rFonts w:hint="eastAsia" w:ascii="Times New Roman" w:hAnsi="Times New Roman" w:eastAsia="仿宋_GB2312" w:cs="Times New Roman"/>
          <w:snapToGrid w:val="0"/>
          <w:sz w:val="32"/>
          <w:szCs w:val="32"/>
          <w:highlight w:val="none"/>
          <w:lang w:val="en-US" w:eastAsia="zh-CN" w:bidi="ar"/>
        </w:rPr>
        <w:t>登记</w:t>
      </w:r>
      <w:r>
        <w:rPr>
          <w:rFonts w:hint="eastAsia" w:ascii="Times New Roman" w:hAnsi="Times New Roman" w:eastAsia="仿宋_GB2312" w:cs="Times New Roman"/>
          <w:snapToGrid w:val="0"/>
          <w:sz w:val="32"/>
          <w:szCs w:val="32"/>
          <w:highlight w:val="none"/>
          <w:lang w:eastAsia="zh-CN" w:bidi="ar"/>
        </w:rPr>
        <w:t>金额</w:t>
      </w:r>
      <w:r>
        <w:rPr>
          <w:rFonts w:hint="eastAsia" w:ascii="Times New Roman" w:hAnsi="Times New Roman" w:eastAsia="仿宋_GB2312" w:cs="Times New Roman"/>
          <w:snapToGrid w:val="0"/>
          <w:sz w:val="32"/>
          <w:szCs w:val="32"/>
          <w:highlight w:val="none"/>
          <w:lang w:val="en-US" w:eastAsia="zh-CN" w:bidi="ar"/>
        </w:rPr>
        <w:t>达</w:t>
      </w:r>
      <w:r>
        <w:rPr>
          <w:rFonts w:hint="eastAsia" w:ascii="仿宋_GB2312" w:hAnsi="Times New Roman" w:eastAsia="仿宋_GB2312" w:cs="Times New Roman"/>
          <w:color w:val="000000"/>
          <w:sz w:val="32"/>
          <w:szCs w:val="32"/>
          <w:highlight w:val="none"/>
          <w:lang w:val="en-US" w:eastAsia="zh-CN"/>
        </w:rPr>
        <w:t>2500</w:t>
      </w:r>
      <w:r>
        <w:rPr>
          <w:rFonts w:hint="eastAsia" w:ascii="Times New Roman" w:hAnsi="Times New Roman" w:eastAsia="仿宋_GB2312" w:cs="Times New Roman"/>
          <w:snapToGrid w:val="0"/>
          <w:sz w:val="32"/>
          <w:szCs w:val="32"/>
          <w:highlight w:val="none"/>
          <w:lang w:val="en-US" w:eastAsia="zh-CN" w:bidi="ar"/>
        </w:rPr>
        <w:t>亿元</w:t>
      </w:r>
      <w:r>
        <w:rPr>
          <w:rFonts w:hint="eastAsia" w:ascii="Times New Roman" w:hAnsi="Times New Roman" w:eastAsia="仿宋_GB2312" w:cs="Times New Roman"/>
          <w:color w:val="000000"/>
          <w:kern w:val="2"/>
          <w:sz w:val="32"/>
          <w:szCs w:val="32"/>
          <w:highlight w:val="none"/>
          <w:lang w:val="en-US" w:eastAsia="zh-CN" w:bidi="ar-SA"/>
        </w:rPr>
        <w:t>以上</w:t>
      </w:r>
      <w:r>
        <w:rPr>
          <w:rFonts w:hint="eastAsia" w:ascii="Times New Roman" w:hAnsi="Times New Roman" w:eastAsia="仿宋_GB2312" w:cs="Times New Roman"/>
          <w:snapToGrid w:val="0"/>
          <w:sz w:val="32"/>
          <w:szCs w:val="32"/>
          <w:highlight w:val="none"/>
          <w:lang w:eastAsia="zh-CN" w:bidi="ar"/>
        </w:rPr>
        <w:t>，惠及企业数量及覆盖面进一步扩大。</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000000"/>
                <w:highlight w:val="none"/>
                <w:lang w:val="en-US" w:eastAsia="zh-CN"/>
              </w:rPr>
            </w:pPr>
            <w:r>
              <w:rPr>
                <w:rFonts w:hint="eastAsia" w:ascii="Times New Roman" w:hAnsi="Times New Roman" w:cs="Times New Roman"/>
                <w:color w:val="000000"/>
                <w:highlight w:val="none"/>
              </w:rPr>
              <w:t>专栏</w:t>
            </w:r>
            <w:r>
              <w:rPr>
                <w:rFonts w:hint="eastAsia" w:ascii="Times New Roman" w:hAnsi="Times New Roman" w:cs="Times New Roman"/>
                <w:color w:val="000000"/>
                <w:highlight w:val="none"/>
                <w:lang w:val="en-US" w:eastAsia="zh-CN"/>
              </w:rPr>
              <w:t>8</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rPr>
              <w:t>知识产权金融生态综合试点</w:t>
            </w:r>
            <w:r>
              <w:rPr>
                <w:rFonts w:hint="eastAsia" w:ascii="Times New Roman" w:hAnsi="Times New Roman" w:cs="Times New Roman"/>
                <w:color w:val="000000"/>
                <w:highlight w:val="none"/>
                <w:lang w:val="en-US" w:eastAsia="zh-CN"/>
              </w:rPr>
              <w:t>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22" w:type="dxa"/>
            <w:noWrap w:val="0"/>
            <w:vAlign w:val="top"/>
          </w:tcPr>
          <w:p>
            <w:pPr>
              <w:keepNext w:val="0"/>
              <w:keepLines w:val="0"/>
              <w:suppressLineNumbers w:val="0"/>
              <w:spacing w:before="0" w:beforeAutospacing="0" w:after="0" w:afterAutospacing="0"/>
              <w:ind w:left="0" w:right="0" w:firstLine="420" w:firstLineChars="200"/>
              <w:rPr>
                <w:rFonts w:hint="eastAsia" w:ascii="Times New Roman" w:hAnsi="Times New Roman" w:cs="Times New Roman"/>
                <w:color w:val="000000"/>
                <w:highlight w:val="none"/>
              </w:rPr>
            </w:pPr>
            <w:r>
              <w:rPr>
                <w:rFonts w:hint="eastAsia" w:ascii="Times New Roman" w:hAnsi="Times New Roman" w:cs="Times New Roman"/>
                <w:color w:val="000000"/>
                <w:highlight w:val="none"/>
              </w:rPr>
              <w:t>推进</w:t>
            </w:r>
            <w:r>
              <w:rPr>
                <w:rFonts w:hint="eastAsia" w:ascii="Times New Roman" w:hAnsi="Times New Roman" w:cs="Times New Roman"/>
                <w:color w:val="000000"/>
                <w:highlight w:val="none"/>
                <w:lang w:val="en-US" w:eastAsia="zh-CN"/>
              </w:rPr>
              <w:t>知识产权</w:t>
            </w:r>
            <w:r>
              <w:rPr>
                <w:rFonts w:hint="eastAsia" w:ascii="Times New Roman" w:hAnsi="Times New Roman" w:cs="Times New Roman"/>
                <w:color w:val="000000"/>
                <w:highlight w:val="none"/>
              </w:rPr>
              <w:t>质押登记更加高效便捷。全面推进质押登记线上办理和质押信息公示共享，推动深圳知识产权保护中心、国家知识产权局商标业务深圳受理窗口提升质押登记服务质效，持续提升质押融资服务便利化程度。</w:t>
            </w:r>
          </w:p>
          <w:p>
            <w:pPr>
              <w:keepNext w:val="0"/>
              <w:keepLines w:val="0"/>
              <w:suppressLineNumbers w:val="0"/>
              <w:spacing w:before="0" w:beforeAutospacing="0" w:after="0" w:afterAutospacing="0"/>
              <w:ind w:left="0" w:right="0" w:firstLine="420" w:firstLineChars="200"/>
              <w:rPr>
                <w:rFonts w:hint="eastAsia" w:ascii="Times New Roman" w:hAnsi="Times New Roman" w:cs="Times New Roman"/>
                <w:color w:val="000000"/>
                <w:highlight w:val="none"/>
              </w:rPr>
            </w:pPr>
            <w:r>
              <w:rPr>
                <w:rFonts w:hint="eastAsia" w:ascii="Times New Roman" w:hAnsi="Times New Roman" w:cs="Times New Roman"/>
                <w:color w:val="000000"/>
                <w:highlight w:val="none"/>
              </w:rPr>
              <w:t>推进知识产权质押模式创新。鼓励商业银行将植物新品种权、地理标志、许可收益权</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商业秘密</w:t>
            </w:r>
            <w:r>
              <w:rPr>
                <w:rFonts w:hint="eastAsia" w:ascii="Times New Roman" w:hAnsi="Times New Roman" w:cs="Times New Roman"/>
                <w:color w:val="000000"/>
                <w:highlight w:val="none"/>
              </w:rPr>
              <w:t>等纳入可质押知识产权范畴</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rPr>
              <w:t>引导金融机构围绕专利密集型产品定制专属金融产品</w:t>
            </w:r>
            <w:r>
              <w:rPr>
                <w:rFonts w:hint="eastAsia" w:ascii="Times New Roman" w:hAnsi="Times New Roman" w:cs="Times New Roman"/>
                <w:color w:val="000000"/>
                <w:highlight w:val="none"/>
                <w:lang w:eastAsia="zh-CN"/>
              </w:rPr>
              <w:t>。推动商业银行制定知识产权金融业务办法和管理制度，加快培育知识产权金融特色网点，培养知识产权金融专员。</w:t>
            </w:r>
          </w:p>
          <w:p>
            <w:pPr>
              <w:keepNext w:val="0"/>
              <w:keepLines w:val="0"/>
              <w:suppressLineNumbers w:val="0"/>
              <w:spacing w:before="0" w:beforeAutospacing="0" w:after="0" w:afterAutospacing="0"/>
              <w:ind w:left="0" w:right="0" w:firstLine="420" w:firstLineChars="200"/>
              <w:rPr>
                <w:rFonts w:hint="default" w:ascii="Times New Roman" w:hAnsi="Times New Roman" w:eastAsia="宋体" w:cs="Times New Roman"/>
                <w:color w:val="000000"/>
                <w:highlight w:val="none"/>
                <w:lang w:val="en-US" w:eastAsia="zh-CN"/>
              </w:rPr>
            </w:pPr>
            <w:r>
              <w:rPr>
                <w:rFonts w:hint="eastAsia" w:ascii="Times New Roman" w:hAnsi="Times New Roman" w:cs="Times New Roman"/>
                <w:color w:val="000000"/>
                <w:highlight w:val="none"/>
                <w:lang w:eastAsia="zh-CN"/>
              </w:rPr>
              <w:t>提高知识产权市场化交易水平。</w:t>
            </w:r>
            <w:r>
              <w:rPr>
                <w:rFonts w:hint="eastAsia" w:ascii="Times New Roman" w:hAnsi="Times New Roman" w:cs="Times New Roman"/>
                <w:color w:val="000000"/>
                <w:highlight w:val="none"/>
              </w:rPr>
              <w:t>充分发挥国家级知识产权运营平台和交易机构在知识产权价值评估、风险定价、转让交易、质物处置等方面功能，鼓励金融机构积极运用相关平台</w:t>
            </w:r>
            <w:r>
              <w:rPr>
                <w:rFonts w:hint="eastAsia" w:cs="Times New Roman"/>
                <w:color w:val="000000"/>
                <w:highlight w:val="none"/>
                <w:lang w:eastAsia="zh-CN"/>
              </w:rPr>
              <w:t>资源</w:t>
            </w:r>
            <w:r>
              <w:rPr>
                <w:rFonts w:hint="eastAsia" w:ascii="Times New Roman" w:hAnsi="Times New Roman" w:cs="Times New Roman"/>
                <w:color w:val="000000"/>
                <w:highlight w:val="none"/>
              </w:rPr>
              <w:t>，深化知识产权金融服务创新</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推动</w:t>
            </w:r>
            <w:r>
              <w:rPr>
                <w:rFonts w:hint="eastAsia" w:ascii="Times New Roman" w:hAnsi="Times New Roman" w:cs="Times New Roman"/>
                <w:color w:val="000000"/>
                <w:highlight w:val="none"/>
              </w:rPr>
              <w:t>深圳市融资信用服务平台拓展质押融资产品专区服务</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rPr>
              <w:t>支持重点平台机构开设质物处置专门版块，</w:t>
            </w:r>
            <w:r>
              <w:rPr>
                <w:rFonts w:hint="eastAsia" w:ascii="Times New Roman" w:hAnsi="Times New Roman" w:cs="Times New Roman"/>
                <w:color w:val="000000"/>
                <w:highlight w:val="none"/>
                <w:lang w:eastAsia="zh-CN"/>
              </w:rPr>
              <w:t>完善</w:t>
            </w:r>
            <w:r>
              <w:rPr>
                <w:rFonts w:hint="eastAsia" w:ascii="Times New Roman" w:hAnsi="Times New Roman" w:cs="Times New Roman"/>
                <w:color w:val="000000"/>
                <w:highlight w:val="none"/>
              </w:rPr>
              <w:t>知识产权质物收储、运营机</w:t>
            </w:r>
            <w:r>
              <w:rPr>
                <w:rFonts w:hint="eastAsia" w:ascii="Times New Roman" w:hAnsi="Times New Roman" w:cs="Times New Roman"/>
                <w:color w:val="000000"/>
                <w:highlight w:val="none"/>
                <w:lang w:eastAsia="zh-CN"/>
              </w:rPr>
              <w:t>制</w:t>
            </w:r>
            <w:r>
              <w:rPr>
                <w:rFonts w:hint="eastAsia" w:ascii="Times New Roman" w:hAnsi="Times New Roman" w:cs="Times New Roman"/>
                <w:color w:val="000000"/>
                <w:highlight w:val="none"/>
              </w:rPr>
              <w:t>。</w:t>
            </w:r>
          </w:p>
        </w:tc>
      </w:tr>
    </w:tbl>
    <w:p>
      <w:pPr>
        <w:pStyle w:val="2"/>
        <w:keepNext w:val="0"/>
        <w:keepLines w:val="0"/>
        <w:pageBreakBefore w:val="0"/>
        <w:widowControl w:val="0"/>
        <w:kinsoku/>
        <w:wordWrap/>
        <w:overflowPunct/>
        <w:topLinePunct w:val="0"/>
        <w:autoSpaceDE/>
        <w:autoSpaceDN/>
        <w:bidi w:val="0"/>
        <w:adjustRightInd/>
        <w:snapToGrid/>
        <w:spacing w:line="579" w:lineRule="exact"/>
        <w:ind w:left="0" w:leftChars="0" w:right="0" w:firstLine="640"/>
        <w:textAlignment w:val="auto"/>
        <w:rPr>
          <w:rFonts w:hint="eastAsia" w:ascii="Times New Roman" w:hAnsi="Times New Roman" w:cs="Times New Roman"/>
          <w:highlight w:val="none"/>
        </w:rPr>
      </w:pPr>
      <w:r>
        <w:rPr>
          <w:rFonts w:hint="eastAsia" w:ascii="Times New Roman" w:hAnsi="Times New Roman" w:cs="Times New Roman"/>
          <w:highlight w:val="none"/>
          <w:lang w:val="en-US" w:eastAsia="zh-CN"/>
        </w:rPr>
        <w:t>六</w:t>
      </w:r>
      <w:r>
        <w:rPr>
          <w:rFonts w:hint="eastAsia" w:ascii="Times New Roman" w:hAnsi="Times New Roman" w:cs="Times New Roman"/>
          <w:highlight w:val="none"/>
          <w:lang w:val="en"/>
        </w:rPr>
        <w:t>、</w:t>
      </w:r>
      <w:r>
        <w:rPr>
          <w:rFonts w:hint="eastAsia" w:ascii="Times New Roman" w:hAnsi="Times New Roman" w:cs="Times New Roman"/>
          <w:highlight w:val="none"/>
          <w:lang w:val="en-US" w:eastAsia="zh-CN"/>
        </w:rPr>
        <w:t>打造知识产权服务发展示范区</w:t>
      </w:r>
    </w:p>
    <w:p>
      <w:pPr>
        <w:pStyle w:val="8"/>
        <w:keepNext w:val="0"/>
        <w:keepLines w:val="0"/>
        <w:pageBreakBefore w:val="0"/>
        <w:widowControl w:val="0"/>
        <w:kinsoku/>
        <w:wordWrap/>
        <w:overflowPunct/>
        <w:topLinePunct w:val="0"/>
        <w:autoSpaceDE/>
        <w:autoSpaceDN/>
        <w:bidi w:val="0"/>
        <w:adjustRightInd/>
        <w:snapToGrid/>
        <w:spacing w:line="579" w:lineRule="exact"/>
        <w:ind w:firstLine="643"/>
        <w:textAlignment w:val="auto"/>
        <w:rPr>
          <w:rFonts w:hint="default" w:ascii="仿宋_GB2312" w:hAnsi="Times New Roman" w:eastAsia="仿宋_GB2312" w:cs="Times New Roman"/>
          <w:color w:val="000000"/>
          <w:kern w:val="2"/>
          <w:sz w:val="32"/>
          <w:szCs w:val="32"/>
          <w:highlight w:val="none"/>
          <w:lang w:val="en-US" w:eastAsia="zh-CN" w:bidi="ar-SA"/>
        </w:rPr>
      </w:pPr>
      <w:r>
        <w:rPr>
          <w:rFonts w:hint="eastAsia" w:ascii="楷体" w:hAnsi="楷体" w:eastAsia="楷体" w:cs="楷体"/>
          <w:b/>
          <w:bCs/>
          <w:i w:val="0"/>
          <w:iCs w:val="0"/>
          <w:caps w:val="0"/>
          <w:color w:val="auto"/>
          <w:spacing w:val="0"/>
          <w:kern w:val="0"/>
          <w:sz w:val="32"/>
          <w:szCs w:val="32"/>
          <w:highlight w:val="none"/>
          <w:lang w:val="en-US" w:eastAsia="zh-CN" w:bidi="ar-SA"/>
        </w:rPr>
        <w:t>16.促进知识产权服务业高质量发展。</w:t>
      </w:r>
      <w:r>
        <w:rPr>
          <w:rFonts w:hint="eastAsia" w:ascii="Times New Roman" w:hAnsi="Times New Roman" w:eastAsia="仿宋_GB2312" w:cs="Times New Roman"/>
          <w:color w:val="000000"/>
          <w:szCs w:val="32"/>
          <w:highlight w:val="none"/>
        </w:rPr>
        <w:t>深化先进制造业和</w:t>
      </w:r>
      <w:r>
        <w:rPr>
          <w:rFonts w:hint="eastAsia" w:ascii="Times New Roman" w:hAnsi="Times New Roman" w:eastAsia="仿宋_GB2312" w:cs="Times New Roman"/>
          <w:color w:val="000000"/>
          <w:szCs w:val="32"/>
          <w:highlight w:val="none"/>
          <w:lang w:val="en-US" w:eastAsia="zh-CN"/>
        </w:rPr>
        <w:t>知识产权</w:t>
      </w:r>
      <w:r>
        <w:rPr>
          <w:rFonts w:hint="eastAsia" w:ascii="Times New Roman" w:hAnsi="Times New Roman" w:eastAsia="仿宋_GB2312" w:cs="Times New Roman"/>
          <w:color w:val="000000"/>
          <w:szCs w:val="32"/>
          <w:highlight w:val="none"/>
        </w:rPr>
        <w:t>服务业融合发展</w:t>
      </w:r>
      <w:r>
        <w:rPr>
          <w:rFonts w:hint="eastAsia" w:ascii="Times New Roman" w:hAnsi="Times New Roman" w:eastAsia="仿宋_GB2312" w:cs="Times New Roman"/>
          <w:color w:val="000000"/>
          <w:szCs w:val="32"/>
          <w:highlight w:val="none"/>
          <w:lang w:eastAsia="zh-CN"/>
        </w:rPr>
        <w:t>，</w:t>
      </w:r>
      <w:r>
        <w:rPr>
          <w:rFonts w:hint="eastAsia" w:ascii="Times New Roman" w:hAnsi="Times New Roman" w:eastAsia="仿宋_GB2312" w:cs="Times New Roman"/>
          <w:i w:val="0"/>
          <w:iCs w:val="0"/>
          <w:caps w:val="0"/>
          <w:color w:val="000000"/>
          <w:spacing w:val="0"/>
          <w:sz w:val="32"/>
          <w:szCs w:val="32"/>
          <w:highlight w:val="none"/>
          <w:shd w:val="clear" w:color="auto" w:fill="auto"/>
        </w:rPr>
        <w:t>健全与</w:t>
      </w:r>
      <w:r>
        <w:rPr>
          <w:rFonts w:hint="eastAsia" w:ascii="Times New Roman" w:hAnsi="Times New Roman" w:eastAsia="仿宋_GB2312" w:cs="Times New Roman"/>
          <w:i w:val="0"/>
          <w:iCs w:val="0"/>
          <w:caps w:val="0"/>
          <w:color w:val="000000"/>
          <w:spacing w:val="0"/>
          <w:sz w:val="32"/>
          <w:szCs w:val="32"/>
          <w:highlight w:val="none"/>
          <w:shd w:val="clear" w:color="auto" w:fill="auto"/>
          <w:lang w:val="en-US" w:eastAsia="zh-CN"/>
        </w:rPr>
        <w:t>制造业</w:t>
      </w:r>
      <w:r>
        <w:rPr>
          <w:rFonts w:hint="eastAsia" w:ascii="Times New Roman" w:hAnsi="Times New Roman" w:eastAsia="仿宋_GB2312" w:cs="Times New Roman"/>
          <w:i w:val="0"/>
          <w:iCs w:val="0"/>
          <w:caps w:val="0"/>
          <w:color w:val="000000"/>
          <w:spacing w:val="0"/>
          <w:sz w:val="32"/>
          <w:szCs w:val="32"/>
          <w:highlight w:val="none"/>
          <w:shd w:val="clear" w:color="auto" w:fill="auto"/>
        </w:rPr>
        <w:t>发展相匹配的知识产权</w:t>
      </w:r>
      <w:r>
        <w:rPr>
          <w:rFonts w:hint="eastAsia" w:ascii="Times New Roman" w:hAnsi="Times New Roman" w:eastAsia="仿宋_GB2312" w:cs="Times New Roman"/>
          <w:i w:val="0"/>
          <w:iCs w:val="0"/>
          <w:caps w:val="0"/>
          <w:color w:val="000000"/>
          <w:spacing w:val="0"/>
          <w:sz w:val="32"/>
          <w:szCs w:val="32"/>
          <w:highlight w:val="none"/>
          <w:shd w:val="clear" w:color="auto" w:fill="auto"/>
          <w:lang w:val="en-US" w:eastAsia="zh-CN"/>
        </w:rPr>
        <w:t>服务机制</w:t>
      </w:r>
      <w:r>
        <w:rPr>
          <w:rFonts w:hint="eastAsia" w:ascii="Times New Roman" w:hAnsi="Times New Roman" w:eastAsia="仿宋_GB2312" w:cs="Times New Roman"/>
          <w:i w:val="0"/>
          <w:iCs w:val="0"/>
          <w:caps w:val="0"/>
          <w:color w:val="000000"/>
          <w:spacing w:val="0"/>
          <w:sz w:val="32"/>
          <w:szCs w:val="32"/>
          <w:highlight w:val="none"/>
          <w:shd w:val="clear" w:color="auto" w:fill="auto"/>
          <w:lang w:eastAsia="zh-CN"/>
        </w:rPr>
        <w:t>，</w:t>
      </w:r>
      <w:r>
        <w:rPr>
          <w:rFonts w:hint="eastAsia" w:ascii="Times New Roman" w:hAnsi="Times New Roman" w:eastAsia="仿宋_GB2312" w:cs="Times New Roman"/>
          <w:i w:val="0"/>
          <w:iCs w:val="0"/>
          <w:caps w:val="0"/>
          <w:color w:val="000000"/>
          <w:spacing w:val="0"/>
          <w:sz w:val="32"/>
          <w:szCs w:val="32"/>
          <w:highlight w:val="none"/>
          <w:shd w:val="clear" w:color="auto" w:fill="auto"/>
          <w:lang w:val="en-US" w:eastAsia="zh-CN"/>
        </w:rPr>
        <w:t>推动</w:t>
      </w:r>
      <w:r>
        <w:rPr>
          <w:rFonts w:hint="eastAsia" w:ascii="Times New Roman" w:hAnsi="Times New Roman" w:eastAsia="仿宋_GB2312" w:cs="Times New Roman"/>
          <w:i w:val="0"/>
          <w:iCs w:val="0"/>
          <w:caps w:val="0"/>
          <w:color w:val="000000"/>
          <w:spacing w:val="0"/>
          <w:sz w:val="32"/>
          <w:szCs w:val="32"/>
          <w:highlight w:val="none"/>
          <w:shd w:val="clear" w:color="auto" w:fill="auto"/>
        </w:rPr>
        <w:t>知识产权</w:t>
      </w:r>
      <w:r>
        <w:rPr>
          <w:rFonts w:hint="eastAsia" w:ascii="Times New Roman" w:hAnsi="Times New Roman" w:eastAsia="仿宋_GB2312" w:cs="Times New Roman"/>
          <w:i w:val="0"/>
          <w:iCs w:val="0"/>
          <w:caps w:val="0"/>
          <w:color w:val="000000"/>
          <w:spacing w:val="0"/>
          <w:sz w:val="32"/>
          <w:szCs w:val="32"/>
          <w:highlight w:val="none"/>
          <w:shd w:val="clear" w:color="auto" w:fill="auto"/>
          <w:lang w:val="en-US" w:eastAsia="zh-CN"/>
        </w:rPr>
        <w:t>服务</w:t>
      </w:r>
      <w:r>
        <w:rPr>
          <w:rFonts w:hint="eastAsia" w:ascii="Times New Roman" w:hAnsi="Times New Roman" w:eastAsia="仿宋_GB2312" w:cs="Times New Roman"/>
          <w:i w:val="0"/>
          <w:iCs w:val="0"/>
          <w:caps w:val="0"/>
          <w:color w:val="000000"/>
          <w:spacing w:val="0"/>
          <w:sz w:val="32"/>
          <w:szCs w:val="32"/>
          <w:highlight w:val="none"/>
          <w:shd w:val="clear" w:color="auto" w:fill="auto"/>
        </w:rPr>
        <w:t>融入到</w:t>
      </w:r>
      <w:r>
        <w:rPr>
          <w:rFonts w:hint="eastAsia" w:ascii="仿宋_GB2312" w:hAnsi="仿宋_GB2312" w:eastAsia="仿宋_GB2312" w:cs="仿宋_GB2312"/>
          <w:i w:val="0"/>
          <w:iCs w:val="0"/>
          <w:caps w:val="0"/>
          <w:color w:val="auto"/>
          <w:spacing w:val="0"/>
          <w:sz w:val="32"/>
          <w:szCs w:val="32"/>
          <w:highlight w:val="none"/>
          <w:shd w:val="clear" w:color="auto" w:fill="FFFFFF"/>
        </w:rPr>
        <w:t>研发、制造、销售等环节，</w:t>
      </w:r>
      <w:r>
        <w:rPr>
          <w:rFonts w:hint="eastAsia" w:ascii="仿宋_GB2312" w:hAnsi="仿宋_GB2312" w:eastAsia="仿宋_GB2312" w:cs="仿宋_GB2312"/>
          <w:color w:val="auto"/>
          <w:sz w:val="32"/>
          <w:szCs w:val="32"/>
          <w:highlight w:val="none"/>
          <w:shd w:val="clear" w:color="auto" w:fill="FFFFFF"/>
          <w:lang w:val="en-US" w:eastAsia="zh-CN"/>
        </w:rPr>
        <w:t>加快形成知识产权服务业和制造业</w:t>
      </w:r>
      <w:r>
        <w:rPr>
          <w:rFonts w:hint="eastAsia" w:ascii="仿宋_GB2312" w:hAnsi="仿宋_GB2312" w:eastAsia="仿宋_GB2312" w:cs="仿宋_GB2312"/>
          <w:color w:val="auto"/>
          <w:kern w:val="2"/>
          <w:sz w:val="32"/>
          <w:szCs w:val="32"/>
          <w:highlight w:val="none"/>
          <w:shd w:val="clear" w:color="auto" w:fill="FFFFFF"/>
          <w:lang w:val="en-US" w:eastAsia="zh-CN" w:bidi="ar"/>
        </w:rPr>
        <w:t>协同发展生态体系。</w:t>
      </w:r>
      <w:r>
        <w:rPr>
          <w:rFonts w:hint="eastAsia" w:ascii="Times New Roman" w:hAnsi="Times New Roman" w:eastAsia="仿宋_GB2312" w:cs="Times New Roman"/>
          <w:color w:val="000000"/>
          <w:kern w:val="2"/>
          <w:sz w:val="32"/>
          <w:szCs w:val="32"/>
          <w:highlight w:val="none"/>
          <w:lang w:val="en-US" w:eastAsia="zh-CN" w:bidi="ar-SA"/>
        </w:rPr>
        <w:t>支持知识产权服务机构开展交易、转化、托管、投融资等相关增值服务，促进不同规模知识产权服务机构错位发展，形成优势互补、协同服务的行业发展格局。积极培育涉外知识产权服务机构，鼓励有条件的知识产权服务机构在海外设立分支机构或代表处。支持知识产权服务机构开展国际化人才培养，参加海外知识产权展会，组织、参与国际知识产权交流活动。加快建设国家知识产权服务业高质量集聚发展示范区、国家知识产权服务</w:t>
      </w:r>
      <w:r>
        <w:rPr>
          <w:rFonts w:hint="eastAsia" w:ascii="仿宋_GB2312" w:hAnsi="Times New Roman" w:eastAsia="仿宋_GB2312" w:cs="Times New Roman"/>
          <w:color w:val="000000"/>
          <w:kern w:val="2"/>
          <w:sz w:val="32"/>
          <w:szCs w:val="32"/>
          <w:highlight w:val="none"/>
          <w:lang w:val="en-US" w:eastAsia="zh-CN" w:bidi="ar-SA"/>
        </w:rPr>
        <w:t>出口基地。吸引国际高水平知识产权服务机构入驻深圳。到2030年，外国专利代理机构在深常驻代表机构数量达3家以上。</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仿宋_GB2312" w:cs="Times New Roman"/>
          <w:color w:val="000000"/>
          <w:kern w:val="2"/>
          <w:sz w:val="32"/>
          <w:szCs w:val="32"/>
          <w:highlight w:val="none"/>
          <w:lang w:val="en-US" w:eastAsia="zh-CN" w:bidi="ar-SA"/>
        </w:rPr>
      </w:pPr>
      <w:r>
        <w:rPr>
          <w:rFonts w:hint="eastAsia" w:ascii="楷体" w:hAnsi="楷体" w:eastAsia="楷体" w:cs="楷体"/>
          <w:b/>
          <w:bCs/>
          <w:i w:val="0"/>
          <w:iCs w:val="0"/>
          <w:caps w:val="0"/>
          <w:color w:val="auto"/>
          <w:spacing w:val="0"/>
          <w:kern w:val="0"/>
          <w:sz w:val="32"/>
          <w:szCs w:val="32"/>
          <w:highlight w:val="none"/>
          <w:lang w:val="en-US" w:eastAsia="zh-CN" w:bidi="ar-SA"/>
        </w:rPr>
        <w:t>17.加强知识产权服务业监管。</w:t>
      </w:r>
      <w:r>
        <w:rPr>
          <w:rFonts w:hint="eastAsia" w:ascii="Times New Roman" w:hAnsi="Times New Roman" w:eastAsia="仿宋_GB2312" w:cs="Times New Roman"/>
          <w:color w:val="000000"/>
          <w:kern w:val="2"/>
          <w:sz w:val="32"/>
          <w:szCs w:val="32"/>
          <w:highlight w:val="none"/>
          <w:lang w:val="en-US" w:eastAsia="zh-CN" w:bidi="ar-SA"/>
        </w:rPr>
        <w:t>深入开展知识产权代理行业专项整治，建立知识产权服务监管长效机制，加强跨部门协同监管。深化知识产权代理行业“双随机、一公开”监管，完善知识产权领域经营主体年度报告、经营异常名录、严重违法失信名单制度。依法依规治理知识产权服务业低价无序竞争，推动形成优质优价、良性竞争的市场秩序。持续打击无资质专利代理、专利代理“挂证”、代理非正常专利申请、代理恶意抢注商标、囤积商标、申请注册重大不良影响商标等各类违法违规代理行为。</w:t>
      </w:r>
      <w:r>
        <w:rPr>
          <w:rFonts w:hint="eastAsia" w:ascii="Times New Roman" w:hAnsi="Times New Roman" w:eastAsia="仿宋_GB2312" w:cs="Times New Roman"/>
          <w:color w:val="000000"/>
          <w:kern w:val="2"/>
          <w:sz w:val="32"/>
          <w:szCs w:val="32"/>
          <w:lang w:val="en-US" w:eastAsia="zh-CN" w:bidi="ar"/>
        </w:rPr>
        <w:t>推动成立知识产权服务业协会，</w:t>
      </w:r>
      <w:r>
        <w:rPr>
          <w:rFonts w:hint="eastAsia" w:ascii="Times New Roman" w:hAnsi="Times New Roman" w:eastAsia="仿宋_GB2312" w:cs="Times New Roman"/>
          <w:color w:val="000000"/>
          <w:kern w:val="2"/>
          <w:sz w:val="32"/>
          <w:szCs w:val="32"/>
          <w:highlight w:val="none"/>
          <w:lang w:val="en-US" w:eastAsia="zh-CN" w:bidi="ar-SA"/>
        </w:rPr>
        <w:t>开展专利商标代理机构和从业人员分级分类评价，完善专利商标代理信用评价管理机制，强化信用监管评价结果运用。</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仿宋_GB2312" w:cs="Times New Roman"/>
          <w:color w:val="000000"/>
          <w:sz w:val="32"/>
          <w:szCs w:val="32"/>
          <w:highlight w:val="none"/>
        </w:rPr>
      </w:pPr>
      <w:r>
        <w:rPr>
          <w:rFonts w:hint="eastAsia" w:ascii="楷体" w:hAnsi="楷体" w:eastAsia="楷体" w:cs="楷体"/>
          <w:b/>
          <w:bCs/>
          <w:i w:val="0"/>
          <w:iCs w:val="0"/>
          <w:caps w:val="0"/>
          <w:color w:val="auto"/>
          <w:spacing w:val="0"/>
          <w:kern w:val="0"/>
          <w:sz w:val="32"/>
          <w:szCs w:val="32"/>
          <w:highlight w:val="none"/>
          <w:lang w:val="en-US" w:eastAsia="zh-CN" w:bidi="ar-SA"/>
        </w:rPr>
        <w:t>18.夯实知识产权公共服务基础。</w:t>
      </w:r>
      <w:r>
        <w:rPr>
          <w:rFonts w:hint="eastAsia" w:ascii="Times New Roman" w:hAnsi="Times New Roman" w:eastAsia="仿宋_GB2312" w:cs="Times New Roman"/>
          <w:color w:val="000000"/>
          <w:kern w:val="2"/>
          <w:sz w:val="32"/>
          <w:szCs w:val="32"/>
          <w:highlight w:val="none"/>
          <w:lang w:val="en-US" w:eastAsia="zh-CN" w:bidi="ar-SA"/>
        </w:rPr>
        <w:t>加强国家、省、市三级知识产权公共服务网点培育建设，健全市、区、街道、社区四级知识产权公共服务体系。大力培育技术与创新支持中心（TISC）、高校国家知识产权信息服务中心，加快推进综合性知识产权公共服务机构和专业队伍建设，推动知识产权信息公共服务专业化、特色化、智能化发展。“十五五”期间，知识产权公共服务网点新增数量</w:t>
      </w:r>
      <w:r>
        <w:rPr>
          <w:rFonts w:hint="eastAsia" w:ascii="仿宋_GB2312" w:hAnsi="Times New Roman" w:eastAsia="仿宋_GB2312" w:cs="Times New Roman"/>
          <w:color w:val="000000"/>
          <w:sz w:val="32"/>
          <w:szCs w:val="32"/>
          <w:highlight w:val="none"/>
          <w:lang w:val="en-US" w:eastAsia="zh-CN"/>
        </w:rPr>
        <w:t>达50家以上。到2030年，全市国家知识产权强县建设示范县综合性公共服务机构实现全覆盖，县级综合性公共服务机构覆盖率达80%以上。</w:t>
      </w:r>
    </w:p>
    <w:p>
      <w:pPr>
        <w:pStyle w:val="8"/>
        <w:keepNext w:val="0"/>
        <w:keepLines w:val="0"/>
        <w:pageBreakBefore w:val="0"/>
        <w:widowControl w:val="0"/>
        <w:kinsoku/>
        <w:wordWrap/>
        <w:overflowPunct/>
        <w:topLinePunct w:val="0"/>
        <w:autoSpaceDE/>
        <w:autoSpaceDN/>
        <w:bidi w:val="0"/>
        <w:adjustRightInd/>
        <w:snapToGrid/>
        <w:spacing w:line="579" w:lineRule="exact"/>
        <w:ind w:firstLine="642" w:firstLineChars="200"/>
        <w:textAlignment w:val="auto"/>
        <w:rPr>
          <w:rFonts w:hint="default" w:ascii="Times New Roman" w:hAnsi="Times New Roman" w:eastAsia="仿宋_GB2312" w:cs="Times New Roman"/>
          <w:color w:val="000000"/>
          <w:kern w:val="2"/>
          <w:sz w:val="32"/>
          <w:szCs w:val="32"/>
          <w:highlight w:val="none"/>
          <w:lang w:val="en-US" w:eastAsia="zh-CN" w:bidi="ar-SA"/>
        </w:rPr>
      </w:pPr>
      <w:r>
        <w:rPr>
          <w:rFonts w:hint="eastAsia" w:ascii="楷体" w:hAnsi="楷体" w:eastAsia="楷体" w:cs="楷体"/>
          <w:b/>
          <w:bCs/>
          <w:i w:val="0"/>
          <w:iCs w:val="0"/>
          <w:caps w:val="0"/>
          <w:color w:val="auto"/>
          <w:spacing w:val="0"/>
          <w:kern w:val="0"/>
          <w:sz w:val="32"/>
          <w:szCs w:val="32"/>
          <w:highlight w:val="none"/>
          <w:lang w:val="en-US" w:eastAsia="zh-CN" w:bidi="ar-SA"/>
        </w:rPr>
        <w:t>19.优化知识产权公共服务供给。</w:t>
      </w:r>
      <w:r>
        <w:rPr>
          <w:rFonts w:hint="eastAsia" w:ascii="Times New Roman" w:hAnsi="Times New Roman" w:eastAsia="仿宋_GB2312" w:cs="Times New Roman"/>
          <w:color w:val="000000"/>
          <w:kern w:val="2"/>
          <w:sz w:val="32"/>
          <w:szCs w:val="32"/>
          <w:highlight w:val="none"/>
          <w:lang w:val="en-US" w:eastAsia="zh-CN" w:bidi="ar-SA"/>
        </w:rPr>
        <w:t>拓展知识产权公共服务“一窗通办”业务范围，推动各类业务线上线下“同标准受理、无差别办理”。支持企事业单位及社会组织研究、开发、提供知识产权公共服务产品，面向创新主体和社会公众提供公益性或者低成本的信息服务。开展知识产权公共服务助企惠企行动，推进重点产业园区知识产权公共服务工作站建设，鼓励有条件的公共服务机构开展国际服务实践。完善深圳市知识产权信息公共服务平台功能，推进区级知识产权公共服务平台建设。推</w:t>
      </w:r>
      <w:r>
        <w:rPr>
          <w:rFonts w:hint="eastAsia" w:ascii="仿宋_GB2312" w:hAnsi="Times New Roman" w:eastAsia="仿宋_GB2312" w:cs="Times New Roman"/>
          <w:color w:val="000000"/>
          <w:kern w:val="2"/>
          <w:sz w:val="32"/>
          <w:szCs w:val="32"/>
          <w:highlight w:val="none"/>
          <w:lang w:val="en-US" w:eastAsia="zh-CN" w:bidi="ar-SA"/>
        </w:rPr>
        <w:t>动深圳知识产权保护中心、福田区知识产权快速维权中心等平台为企业提供快速预审、快速维权、快速确权等知识产权综合服务，“十五五”期间，服务企业数量达30000家以上。</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cs="Times New Roman"/>
                <w:color w:val="000000"/>
                <w:highlight w:val="none"/>
              </w:rPr>
              <w:t>专栏</w:t>
            </w:r>
            <w:r>
              <w:rPr>
                <w:rFonts w:hint="eastAsia" w:ascii="Times New Roman" w:hAnsi="Times New Roman" w:cs="Times New Roman"/>
                <w:color w:val="000000"/>
                <w:highlight w:val="none"/>
                <w:lang w:val="en-US" w:eastAsia="zh-CN"/>
              </w:rPr>
              <w:t>9</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rPr>
              <w:t>知识产权公共服务普惠工程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000000"/>
                <w:highlight w:val="none"/>
              </w:rPr>
            </w:pPr>
            <w:r>
              <w:rPr>
                <w:rFonts w:hint="eastAsia" w:ascii="Times New Roman" w:hAnsi="Times New Roman" w:cs="Times New Roman"/>
                <w:color w:val="000000"/>
                <w:highlight w:val="none"/>
                <w:lang w:val="en-US" w:eastAsia="zh-CN"/>
              </w:rPr>
              <w:t>建立知识产权信息与资源共享机制。</w:t>
            </w:r>
            <w:r>
              <w:rPr>
                <w:rFonts w:hint="eastAsia" w:ascii="Times New Roman" w:hAnsi="Times New Roman" w:cs="Times New Roman"/>
                <w:color w:val="000000"/>
                <w:highlight w:val="none"/>
              </w:rPr>
              <w:t>加强知识产权数据要素保障</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建设新一代电子信息技术、新能源、新材料、低空经济、生物医药、高端装备制造、软件与信息服务、半导体与集成电路等重点产业</w:t>
            </w:r>
            <w:r>
              <w:rPr>
                <w:rFonts w:hint="default" w:ascii="Times New Roman" w:hAnsi="Times New Roman" w:cs="Times New Roman"/>
                <w:color w:val="000000"/>
                <w:highlight w:val="none"/>
              </w:rPr>
              <w:t>专题数据库</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为各类创新创业主体提供贯穿立项、研发到科技成果转移转化等创新全链条的服务支撑。引导知识产权公共服务机构围绕战略性新兴产业及未来产业，开展知识产权信息咨询、产业发展分析、知识产权风险预警等公共服务，开发智能检索、智能翻译、数据挖掘、数据分析等智慧服务工具。</w:t>
            </w:r>
          </w:p>
        </w:tc>
      </w:tr>
    </w:tbl>
    <w:p>
      <w:pPr>
        <w:pStyle w:val="2"/>
        <w:keepNext w:val="0"/>
        <w:keepLines w:val="0"/>
        <w:pageBreakBefore w:val="0"/>
        <w:widowControl w:val="0"/>
        <w:kinsoku/>
        <w:wordWrap/>
        <w:overflowPunct/>
        <w:topLinePunct w:val="0"/>
        <w:autoSpaceDE/>
        <w:autoSpaceDN/>
        <w:bidi w:val="0"/>
        <w:adjustRightInd/>
        <w:snapToGrid/>
        <w:spacing w:line="579" w:lineRule="exact"/>
        <w:ind w:left="0" w:leftChars="0" w:right="0" w:firstLine="640"/>
        <w:textAlignment w:val="auto"/>
        <w:rPr>
          <w:rFonts w:hint="eastAsia" w:ascii="Times New Roman" w:hAnsi="Times New Roman" w:cs="Times New Roman"/>
          <w:highlight w:val="none"/>
          <w:lang w:val="en-US" w:eastAsia="zh-CN"/>
        </w:rPr>
      </w:pP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cs="Times New Roman"/>
                <w:color w:val="000000"/>
                <w:highlight w:val="none"/>
              </w:rPr>
              <w:t>专栏</w:t>
            </w:r>
            <w:r>
              <w:rPr>
                <w:rFonts w:hint="eastAsia" w:ascii="Times New Roman" w:hAnsi="Times New Roman" w:cs="Times New Roman"/>
                <w:color w:val="000000"/>
                <w:highlight w:val="none"/>
                <w:lang w:val="en-US" w:eastAsia="zh-CN"/>
              </w:rPr>
              <w:t>10</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lang w:val="en-US" w:eastAsia="zh-CN"/>
              </w:rPr>
              <w:t>数据知识产权试点工程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firstLine="420" w:firstLineChars="200"/>
              <w:rPr>
                <w:rFonts w:hint="eastAsia" w:ascii="Times New Roman" w:hAnsi="Times New Roman" w:cs="Times New Roman"/>
                <w:color w:val="000000"/>
                <w:highlight w:val="none"/>
                <w:lang w:val="en-US" w:eastAsia="zh-CN"/>
              </w:rPr>
            </w:pPr>
            <w:r>
              <w:rPr>
                <w:rFonts w:hint="eastAsia" w:ascii="Times New Roman" w:hAnsi="Times New Roman" w:cs="Times New Roman"/>
                <w:color w:val="000000"/>
                <w:highlight w:val="none"/>
                <w:lang w:val="en-US" w:eastAsia="zh-CN"/>
              </w:rPr>
              <w:t>推进数据知识产权登记实践工作。发挥数据知识产权登记在数据资产全过程管理试点工作中的作用，为数据资产入表、授权运营、交易流通提供基础支撑。重点引导人工智能、生物医药等新兴产业数据知识产权登记，加快推动数据知识产权登记质效显著提升。完善数据知识产权保护规则。</w:t>
            </w:r>
          </w:p>
          <w:p>
            <w:pPr>
              <w:keepNext w:val="0"/>
              <w:keepLines w:val="0"/>
              <w:suppressLineNumbers w:val="0"/>
              <w:spacing w:before="0" w:beforeAutospacing="0" w:after="0" w:afterAutospacing="0"/>
              <w:ind w:left="0" w:right="0" w:firstLine="420" w:firstLineChars="200"/>
              <w:rPr>
                <w:rFonts w:hint="eastAsia" w:ascii="Times New Roman" w:hAnsi="Times New Roman" w:cs="Times New Roman"/>
                <w:color w:val="000000"/>
                <w:highlight w:val="none"/>
                <w:lang w:val="en-US" w:eastAsia="zh-CN"/>
              </w:rPr>
            </w:pPr>
            <w:r>
              <w:rPr>
                <w:rFonts w:hint="eastAsia" w:ascii="Times New Roman" w:hAnsi="Times New Roman" w:cs="Times New Roman"/>
                <w:color w:val="000000"/>
                <w:highlight w:val="none"/>
                <w:lang w:val="en-US" w:eastAsia="zh-CN"/>
              </w:rPr>
              <w:t>构建数据知识产权运用服务体系。支持各类交易运营平台和服务机构提供多维度的运营服务，有效支撑数据知识产权转化运用，深化数据知识产权在交易流通、资产入表、作价入股、质押融资、证券化等场景中的应用，形成一批示范典型案例。</w:t>
            </w:r>
          </w:p>
          <w:p>
            <w:pPr>
              <w:keepNext w:val="0"/>
              <w:keepLines w:val="0"/>
              <w:suppressLineNumbers w:val="0"/>
              <w:spacing w:before="0" w:beforeAutospacing="0" w:after="0" w:afterAutospacing="0"/>
              <w:ind w:left="0" w:right="0" w:firstLine="420" w:firstLineChars="200"/>
              <w:rPr>
                <w:rFonts w:hint="default" w:ascii="Times New Roman" w:hAnsi="Times New Roman" w:cs="Times New Roman"/>
                <w:color w:val="000000"/>
                <w:highlight w:val="none"/>
              </w:rPr>
            </w:pPr>
            <w:r>
              <w:rPr>
                <w:rFonts w:hint="eastAsia" w:ascii="Times New Roman" w:hAnsi="Times New Roman" w:cs="Times New Roman"/>
                <w:color w:val="000000"/>
                <w:highlight w:val="none"/>
                <w:lang w:val="en-US" w:eastAsia="zh-CN"/>
              </w:rPr>
              <w:t>打造数据知识产权生态试验区。支持前海合作区、河套合作区等重点区域，设置数据知识产权服务点，开展数据知识产权登记、运用咨询与指导服务，培育引进一批数据知识产权服务机构</w:t>
            </w:r>
            <w:r>
              <w:rPr>
                <w:rFonts w:hint="eastAsia" w:ascii="Times New Roman" w:hAnsi="Times New Roman" w:cs="Times New Roman"/>
                <w:color w:val="000000"/>
                <w:kern w:val="2"/>
                <w:sz w:val="21"/>
                <w:szCs w:val="24"/>
                <w:lang w:val="en-US" w:eastAsia="zh-CN" w:bidi="ar"/>
              </w:rPr>
              <w:t>，</w:t>
            </w:r>
            <w:r>
              <w:rPr>
                <w:rFonts w:hint="eastAsia" w:ascii="Times New Roman" w:hAnsi="Times New Roman" w:cs="Times New Roman"/>
                <w:color w:val="000000"/>
                <w:highlight w:val="none"/>
                <w:lang w:val="en-US" w:eastAsia="zh-CN"/>
              </w:rPr>
              <w:t>健全数据知识产权服务体系，促进大湾区企业科技创新与数实融合。</w:t>
            </w:r>
          </w:p>
        </w:tc>
      </w:tr>
    </w:tbl>
    <w:p>
      <w:pPr>
        <w:pStyle w:val="2"/>
        <w:keepNext w:val="0"/>
        <w:keepLines w:val="0"/>
        <w:pageBreakBefore w:val="0"/>
        <w:widowControl w:val="0"/>
        <w:kinsoku/>
        <w:wordWrap/>
        <w:overflowPunct/>
        <w:topLinePunct w:val="0"/>
        <w:autoSpaceDE/>
        <w:autoSpaceDN/>
        <w:bidi w:val="0"/>
        <w:adjustRightInd/>
        <w:snapToGrid/>
        <w:spacing w:line="579" w:lineRule="exact"/>
        <w:ind w:left="0" w:leftChars="0" w:right="0" w:firstLine="640"/>
        <w:textAlignment w:val="auto"/>
        <w:rPr>
          <w:rFonts w:hint="eastAsia" w:ascii="Times New Roman" w:hAnsi="Times New Roman" w:cs="Times New Roman"/>
          <w:highlight w:val="none"/>
        </w:rPr>
      </w:pPr>
      <w:r>
        <w:rPr>
          <w:rFonts w:hint="eastAsia" w:ascii="Times New Roman" w:hAnsi="Times New Roman" w:cs="Times New Roman"/>
          <w:highlight w:val="none"/>
          <w:lang w:val="en-US" w:eastAsia="zh-CN"/>
        </w:rPr>
        <w:t>七</w:t>
      </w:r>
      <w:r>
        <w:rPr>
          <w:rFonts w:hint="eastAsia" w:ascii="Times New Roman" w:hAnsi="Times New Roman" w:cs="Times New Roman"/>
          <w:highlight w:val="none"/>
          <w:lang w:val="en"/>
        </w:rPr>
        <w:t>、</w:t>
      </w:r>
      <w:r>
        <w:rPr>
          <w:rFonts w:hint="eastAsia" w:ascii="Times New Roman" w:hAnsi="Times New Roman" w:cs="Times New Roman"/>
          <w:highlight w:val="none"/>
          <w:lang w:val="en-US" w:eastAsia="zh-CN"/>
        </w:rPr>
        <w:t>打造知识产权国际交流与人才集聚区</w:t>
      </w:r>
    </w:p>
    <w:p>
      <w:pPr>
        <w:keepNext w:val="0"/>
        <w:keepLines w:val="0"/>
        <w:pageBreakBefore w:val="0"/>
        <w:widowControl w:val="0"/>
        <w:kinsoku/>
        <w:wordWrap/>
        <w:overflowPunct/>
        <w:topLinePunct w:val="0"/>
        <w:autoSpaceDE/>
        <w:autoSpaceDN/>
        <w:bidi w:val="0"/>
        <w:adjustRightInd/>
        <w:snapToGrid/>
        <w:spacing w:line="579" w:lineRule="exact"/>
        <w:ind w:firstLine="642" w:firstLineChars="200"/>
        <w:jc w:val="both"/>
        <w:textAlignment w:val="auto"/>
        <w:rPr>
          <w:rFonts w:hint="default" w:ascii="楷体" w:hAnsi="楷体" w:eastAsia="楷体" w:cs="楷体"/>
          <w:b/>
          <w:bCs/>
          <w:i w:val="0"/>
          <w:iCs w:val="0"/>
          <w:caps w:val="0"/>
          <w:color w:val="auto"/>
          <w:spacing w:val="0"/>
          <w:kern w:val="0"/>
          <w:sz w:val="32"/>
          <w:szCs w:val="32"/>
          <w:highlight w:val="none"/>
          <w:lang w:val="en-US" w:eastAsia="zh-CN" w:bidi="ar-SA"/>
        </w:rPr>
      </w:pPr>
      <w:r>
        <w:rPr>
          <w:rFonts w:hint="eastAsia" w:ascii="楷体" w:hAnsi="楷体" w:eastAsia="楷体" w:cs="楷体"/>
          <w:b/>
          <w:bCs/>
          <w:i w:val="0"/>
          <w:iCs w:val="0"/>
          <w:caps w:val="0"/>
          <w:color w:val="auto"/>
          <w:spacing w:val="0"/>
          <w:kern w:val="0"/>
          <w:sz w:val="32"/>
          <w:szCs w:val="32"/>
          <w:highlight w:val="none"/>
          <w:lang w:val="en-US" w:eastAsia="zh-CN" w:bidi="ar-SA"/>
        </w:rPr>
        <w:t>20.厚植知识产权文化理念。</w:t>
      </w:r>
      <w:r>
        <w:rPr>
          <w:rFonts w:hint="eastAsia" w:ascii="Times New Roman" w:hAnsi="Times New Roman" w:eastAsia="仿宋_GB2312" w:cs="Times New Roman"/>
          <w:color w:val="000000"/>
          <w:sz w:val="32"/>
          <w:szCs w:val="32"/>
          <w:highlight w:val="none"/>
          <w:lang w:val="en-US" w:eastAsia="zh-CN"/>
        </w:rPr>
        <w:t>深入开展知识产权普法宣传和科普活动，加强中小学知识产权普及教育。创新办好全国知识产权宣传周、深圳知识产权论坛等宣传活动。打造传统媒体和新兴媒体融合发展的知识产权文化传播平台。创新宣传内容、方式和手段，</w:t>
      </w:r>
      <w:r>
        <w:rPr>
          <w:rFonts w:hint="eastAsia" w:ascii="Times New Roman" w:hAnsi="Times New Roman" w:eastAsia="仿宋_GB2312" w:cs="Times New Roman"/>
          <w:color w:val="000000"/>
          <w:kern w:val="2"/>
          <w:sz w:val="32"/>
          <w:szCs w:val="32"/>
          <w:highlight w:val="none"/>
          <w:lang w:val="en-US" w:eastAsia="zh-CN" w:bidi="ar-SA"/>
        </w:rPr>
        <w:t>做好知识产权强市和保护高地建设成果宣传。加强知识产权文化载体建设，鼓励开展以知识产权为主题的各类文化作品创作和文化活动。</w:t>
      </w:r>
      <w:r>
        <w:rPr>
          <w:rFonts w:hint="eastAsia" w:ascii="Times New Roman" w:hAnsi="Times New Roman" w:eastAsia="仿宋_GB2312" w:cs="Times New Roman"/>
          <w:color w:val="000000"/>
          <w:sz w:val="32"/>
          <w:szCs w:val="32"/>
          <w:highlight w:val="none"/>
          <w:lang w:val="en-US" w:eastAsia="zh-CN"/>
        </w:rPr>
        <w:t>持续推进知识产权诚信体系建设，依法依规对知识产权领域违法失信行为进行惩戒，加大典型案例曝光力度。</w:t>
      </w:r>
    </w:p>
    <w:p>
      <w:pPr>
        <w:pStyle w:val="8"/>
        <w:keepNext w:val="0"/>
        <w:keepLines w:val="0"/>
        <w:pageBreakBefore w:val="0"/>
        <w:widowControl w:val="0"/>
        <w:kinsoku/>
        <w:wordWrap/>
        <w:overflowPunct/>
        <w:topLinePunct w:val="0"/>
        <w:autoSpaceDE/>
        <w:autoSpaceDN/>
        <w:bidi w:val="0"/>
        <w:adjustRightInd/>
        <w:snapToGrid/>
        <w:spacing w:line="579" w:lineRule="exact"/>
        <w:ind w:left="0" w:leftChars="0" w:firstLine="642" w:firstLineChars="200"/>
        <w:textAlignment w:val="auto"/>
        <w:rPr>
          <w:rFonts w:hint="default" w:ascii="Times New Roman" w:hAnsi="Times New Roman" w:eastAsia="仿宋_GB2312" w:cs="Times New Roman"/>
          <w:color w:val="000000"/>
          <w:sz w:val="32"/>
          <w:szCs w:val="32"/>
          <w:highlight w:val="none"/>
          <w:lang w:val="en-US" w:eastAsia="zh-CN"/>
        </w:rPr>
      </w:pPr>
      <w:r>
        <w:rPr>
          <w:rFonts w:hint="eastAsia" w:ascii="楷体" w:hAnsi="楷体" w:eastAsia="楷体" w:cs="楷体"/>
          <w:b/>
          <w:bCs/>
          <w:i w:val="0"/>
          <w:iCs w:val="0"/>
          <w:caps w:val="0"/>
          <w:color w:val="auto"/>
          <w:spacing w:val="0"/>
          <w:kern w:val="0"/>
          <w:sz w:val="32"/>
          <w:szCs w:val="32"/>
          <w:highlight w:val="none"/>
          <w:lang w:val="en-US" w:eastAsia="zh-CN" w:bidi="ar-SA"/>
        </w:rPr>
        <w:t>21.深化跨境知识产权保护协作。</w:t>
      </w:r>
      <w:r>
        <w:rPr>
          <w:rFonts w:hint="eastAsia" w:ascii="Times New Roman" w:hAnsi="Times New Roman" w:eastAsia="仿宋_GB2312" w:cs="Times New Roman"/>
          <w:color w:val="000000"/>
          <w:sz w:val="32"/>
          <w:szCs w:val="32"/>
          <w:highlight w:val="none"/>
        </w:rPr>
        <w:t>积极参与粤港澳海关保护知识产权联合执法行动，严厉打击跨境知识产权侵权行为。推动知识产权信息、侵权线索共享。加快推动福田法院河套法庭深化拓展审判职能综合改革，探索“专业法官</w:t>
      </w:r>
      <w:r>
        <w:rPr>
          <w:rFonts w:ascii="Times New Roman" w:hAnsi="Times New Roman" w:eastAsia="仿宋_GB2312" w:cs="Times New Roman"/>
          <w:color w:val="000000"/>
          <w:sz w:val="32"/>
          <w:szCs w:val="32"/>
          <w:highlight w:val="none"/>
        </w:rPr>
        <w:t>+港澳陪审员+行业专家</w:t>
      </w:r>
      <w:r>
        <w:rPr>
          <w:rFonts w:hint="eastAsia" w:ascii="Times New Roman" w:hAnsi="Times New Roman" w:eastAsia="仿宋_GB2312" w:cs="Times New Roman"/>
          <w:color w:val="000000"/>
          <w:sz w:val="32"/>
          <w:szCs w:val="32"/>
          <w:highlight w:val="none"/>
          <w:lang w:eastAsia="zh-CN"/>
        </w:rPr>
        <w:t>”</w:t>
      </w:r>
      <w:r>
        <w:rPr>
          <w:rFonts w:ascii="Times New Roman" w:hAnsi="Times New Roman" w:eastAsia="仿宋_GB2312" w:cs="Times New Roman"/>
          <w:color w:val="000000"/>
          <w:sz w:val="32"/>
          <w:szCs w:val="32"/>
          <w:highlight w:val="none"/>
        </w:rPr>
        <w:t>涉港澳审判新模式，推动聘任港澳法律专业人士参与涉港澳</w:t>
      </w:r>
      <w:r>
        <w:rPr>
          <w:rFonts w:hint="eastAsia" w:ascii="Times New Roman" w:hAnsi="Times New Roman" w:eastAsia="仿宋_GB2312" w:cs="Times New Roman"/>
          <w:color w:val="000000"/>
          <w:sz w:val="32"/>
          <w:szCs w:val="32"/>
          <w:highlight w:val="none"/>
        </w:rPr>
        <w:t>知识产权</w:t>
      </w:r>
      <w:r>
        <w:rPr>
          <w:rFonts w:ascii="Times New Roman" w:hAnsi="Times New Roman" w:eastAsia="仿宋_GB2312" w:cs="Times New Roman"/>
          <w:color w:val="000000"/>
          <w:sz w:val="32"/>
          <w:szCs w:val="32"/>
          <w:highlight w:val="none"/>
        </w:rPr>
        <w:t>案件审理。</w:t>
      </w:r>
      <w:r>
        <w:rPr>
          <w:rFonts w:hint="eastAsia" w:ascii="Times New Roman" w:hAnsi="Times New Roman" w:eastAsia="仿宋_GB2312" w:cs="Times New Roman"/>
          <w:color w:val="000000"/>
          <w:sz w:val="32"/>
          <w:szCs w:val="32"/>
          <w:highlight w:val="none"/>
        </w:rPr>
        <w:t>加强</w:t>
      </w:r>
      <w:r>
        <w:rPr>
          <w:rFonts w:hint="eastAsia" w:ascii="Times New Roman" w:hAnsi="Times New Roman" w:eastAsia="仿宋_GB2312" w:cs="Times New Roman"/>
          <w:color w:val="000000"/>
          <w:sz w:val="32"/>
          <w:szCs w:val="32"/>
          <w:highlight w:val="none"/>
          <w:lang w:val="en-US" w:eastAsia="zh-CN"/>
        </w:rPr>
        <w:t>与香港、澳门</w:t>
      </w:r>
      <w:r>
        <w:rPr>
          <w:rFonts w:hint="eastAsia" w:ascii="Times New Roman" w:hAnsi="Times New Roman" w:eastAsia="仿宋_GB2312" w:cs="Times New Roman"/>
          <w:color w:val="000000"/>
          <w:sz w:val="32"/>
          <w:szCs w:val="32"/>
          <w:highlight w:val="none"/>
        </w:rPr>
        <w:t>知识产权调解、仲裁等</w:t>
      </w:r>
      <w:r>
        <w:rPr>
          <w:rFonts w:hint="eastAsia" w:ascii="Times New Roman" w:hAnsi="Times New Roman" w:eastAsia="仿宋_GB2312" w:cs="Times New Roman"/>
          <w:color w:val="000000"/>
          <w:sz w:val="32"/>
          <w:szCs w:val="32"/>
          <w:highlight w:val="none"/>
          <w:lang w:val="en-US" w:eastAsia="zh-CN"/>
        </w:rPr>
        <w:t>部门</w:t>
      </w:r>
      <w:r>
        <w:rPr>
          <w:rFonts w:hint="eastAsia" w:ascii="Times New Roman" w:hAnsi="Times New Roman" w:eastAsia="仿宋_GB2312" w:cs="Times New Roman"/>
          <w:color w:val="000000"/>
          <w:sz w:val="32"/>
          <w:szCs w:val="32"/>
          <w:highlight w:val="none"/>
        </w:rPr>
        <w:t>的有效衔接，推动完善</w:t>
      </w:r>
      <w:r>
        <w:rPr>
          <w:rFonts w:hint="eastAsia" w:ascii="Times New Roman" w:hAnsi="Times New Roman" w:eastAsia="仿宋_GB2312" w:cs="Times New Roman"/>
          <w:color w:val="000000"/>
          <w:sz w:val="32"/>
          <w:szCs w:val="32"/>
          <w:highlight w:val="none"/>
          <w:lang w:val="en-US" w:eastAsia="zh-CN"/>
        </w:rPr>
        <w:t>跨境协作</w:t>
      </w:r>
      <w:r>
        <w:rPr>
          <w:rFonts w:hint="eastAsia" w:ascii="Times New Roman" w:hAnsi="Times New Roman" w:eastAsia="仿宋_GB2312" w:cs="Times New Roman"/>
          <w:color w:val="000000"/>
          <w:sz w:val="32"/>
          <w:szCs w:val="32"/>
          <w:highlight w:val="none"/>
        </w:rPr>
        <w:t>调解机制。</w:t>
      </w:r>
    </w:p>
    <w:p>
      <w:pPr>
        <w:pStyle w:val="8"/>
        <w:keepNext w:val="0"/>
        <w:keepLines w:val="0"/>
        <w:pageBreakBefore w:val="0"/>
        <w:widowControl w:val="0"/>
        <w:kinsoku/>
        <w:wordWrap/>
        <w:overflowPunct/>
        <w:topLinePunct w:val="0"/>
        <w:autoSpaceDE/>
        <w:autoSpaceDN/>
        <w:bidi w:val="0"/>
        <w:adjustRightInd/>
        <w:snapToGrid/>
        <w:spacing w:line="579" w:lineRule="exact"/>
        <w:ind w:left="0" w:leftChars="0" w:firstLine="642" w:firstLineChars="200"/>
        <w:textAlignment w:val="auto"/>
        <w:rPr>
          <w:rFonts w:hint="default" w:ascii="Times New Roman" w:hAnsi="Times New Roman" w:eastAsia="仿宋_GB2312" w:cs="Times New Roman"/>
          <w:color w:val="000000"/>
          <w:sz w:val="32"/>
          <w:szCs w:val="32"/>
          <w:highlight w:val="none"/>
          <w:lang w:val="en-US" w:eastAsia="zh-CN"/>
        </w:rPr>
      </w:pPr>
      <w:r>
        <w:rPr>
          <w:rFonts w:hint="eastAsia" w:ascii="楷体" w:hAnsi="楷体" w:eastAsia="楷体" w:cs="楷体"/>
          <w:b/>
          <w:bCs/>
          <w:i w:val="0"/>
          <w:iCs w:val="0"/>
          <w:caps w:val="0"/>
          <w:color w:val="auto"/>
          <w:spacing w:val="0"/>
          <w:kern w:val="0"/>
          <w:sz w:val="32"/>
          <w:szCs w:val="32"/>
          <w:highlight w:val="none"/>
          <w:lang w:val="en-US" w:eastAsia="zh-CN" w:bidi="ar-SA"/>
        </w:rPr>
        <w:t>22.促进知识产权区域合作。</w:t>
      </w:r>
      <w:r>
        <w:rPr>
          <w:rFonts w:hint="eastAsia" w:ascii="Times New Roman" w:hAnsi="Times New Roman" w:eastAsia="仿宋_GB2312" w:cs="Times New Roman"/>
          <w:color w:val="000000"/>
          <w:sz w:val="32"/>
          <w:szCs w:val="32"/>
          <w:highlight w:val="none"/>
          <w:lang w:val="en-US" w:eastAsia="zh-CN"/>
        </w:rPr>
        <w:t>推动国家知识产权运营（深圳河套）国际转化试点平台、前海国际知识产权综合运营服务中心等平台与国外知名高校和科研院所积极对接，促进知识产权跨境交易。持续优化香港创新主体专利预审和香港、澳门申请人在内地发明专利优先审查服务，提升香港知识产权问询点服务能力。鼓励金融机构聚焦深港科创合作主题，开发知识产权金融新产品，探索知识产权跨境融资新模式。</w:t>
      </w:r>
      <w:r>
        <w:rPr>
          <w:rFonts w:hint="eastAsia" w:ascii="Times New Roman" w:hAnsi="Times New Roman" w:eastAsia="仿宋_GB2312" w:cs="Times New Roman"/>
          <w:color w:val="000000"/>
          <w:sz w:val="32"/>
          <w:szCs w:val="32"/>
          <w:highlight w:val="none"/>
        </w:rPr>
        <w:t>支持企业参加粤港澳大湾区高价值知识产权培育布局大赛、亚洲知识产权营商论坛粤港澳大湾区分论坛</w:t>
      </w:r>
      <w:r>
        <w:rPr>
          <w:rFonts w:hint="eastAsia" w:ascii="Times New Roman" w:hAnsi="Times New Roman" w:eastAsia="仿宋_GB2312" w:cs="Times New Roman"/>
          <w:color w:val="000000"/>
          <w:sz w:val="32"/>
          <w:szCs w:val="32"/>
          <w:highlight w:val="none"/>
          <w:lang w:val="en-US" w:eastAsia="zh-CN"/>
        </w:rPr>
        <w:t>等活动，</w:t>
      </w:r>
      <w:r>
        <w:rPr>
          <w:rFonts w:hint="eastAsia" w:eastAsia="仿宋_GB2312" w:cs="Times New Roman"/>
          <w:color w:val="000000"/>
          <w:sz w:val="32"/>
          <w:szCs w:val="32"/>
          <w:highlight w:val="none"/>
          <w:lang w:val="en-US" w:eastAsia="zh-CN"/>
        </w:rPr>
        <w:t>推动深港创新成果与产业资源对接。</w:t>
      </w:r>
    </w:p>
    <w:p>
      <w:pPr>
        <w:keepNext w:val="0"/>
        <w:keepLines w:val="0"/>
        <w:pageBreakBefore w:val="0"/>
        <w:widowControl w:val="0"/>
        <w:tabs>
          <w:tab w:val="left" w:pos="3780"/>
        </w:tabs>
        <w:kinsoku/>
        <w:wordWrap/>
        <w:overflowPunct/>
        <w:topLinePunct w:val="0"/>
        <w:autoSpaceDE/>
        <w:autoSpaceDN/>
        <w:bidi w:val="0"/>
        <w:adjustRightInd/>
        <w:snapToGrid/>
        <w:spacing w:line="579" w:lineRule="exact"/>
        <w:ind w:firstLine="642" w:firstLineChars="200"/>
        <w:textAlignment w:val="auto"/>
        <w:rPr>
          <w:rFonts w:hint="eastAsia" w:ascii="Times New Roman" w:hAnsi="Times New Roman" w:eastAsia="仿宋_GB2312" w:cs="Times New Roman"/>
          <w:color w:val="000000"/>
          <w:sz w:val="32"/>
          <w:szCs w:val="32"/>
          <w:highlight w:val="none"/>
        </w:rPr>
      </w:pPr>
      <w:r>
        <w:rPr>
          <w:rFonts w:hint="eastAsia" w:ascii="楷体" w:hAnsi="楷体" w:eastAsia="楷体" w:cs="楷体"/>
          <w:b/>
          <w:bCs/>
          <w:i w:val="0"/>
          <w:iCs w:val="0"/>
          <w:caps w:val="0"/>
          <w:color w:val="auto"/>
          <w:spacing w:val="0"/>
          <w:kern w:val="0"/>
          <w:sz w:val="32"/>
          <w:szCs w:val="32"/>
          <w:highlight w:val="none"/>
          <w:lang w:val="en-US" w:eastAsia="zh-CN" w:bidi="ar-SA"/>
        </w:rPr>
        <w:t>23.加强知识产权国际合作交流。</w:t>
      </w:r>
      <w:r>
        <w:rPr>
          <w:rFonts w:hint="eastAsia" w:ascii="Times New Roman" w:hAnsi="Times New Roman" w:eastAsia="仿宋_GB2312" w:cs="Times New Roman"/>
          <w:color w:val="000000"/>
          <w:sz w:val="32"/>
          <w:szCs w:val="32"/>
          <w:highlight w:val="none"/>
        </w:rPr>
        <w:t>汇聚商务、贸促等海外知识产权服务资源，加强面向</w:t>
      </w:r>
      <w:r>
        <w:rPr>
          <w:rFonts w:hint="eastAsia" w:ascii="Times New Roman" w:hAnsi="Times New Roman" w:eastAsia="仿宋_GB2312" w:cs="Times New Roman"/>
          <w:color w:val="000000"/>
          <w:sz w:val="32"/>
          <w:szCs w:val="32"/>
          <w:highlight w:val="none"/>
          <w:lang w:val="en-US" w:eastAsia="zh-CN"/>
        </w:rPr>
        <w:t>共建</w:t>
      </w:r>
      <w:r>
        <w:rPr>
          <w:rFonts w:hint="eastAsia" w:ascii="Times New Roman" w:hAnsi="Times New Roman" w:eastAsia="仿宋_GB2312" w:cs="Times New Roman"/>
          <w:color w:val="000000"/>
          <w:sz w:val="32"/>
          <w:szCs w:val="32"/>
          <w:highlight w:val="none"/>
        </w:rPr>
        <w:t>“一带一路”</w:t>
      </w:r>
      <w:r>
        <w:rPr>
          <w:rFonts w:hint="eastAsia" w:ascii="Times New Roman" w:hAnsi="Times New Roman" w:eastAsia="仿宋_GB2312" w:cs="Times New Roman"/>
          <w:color w:val="000000"/>
          <w:sz w:val="32"/>
          <w:szCs w:val="32"/>
          <w:highlight w:val="none"/>
          <w:lang w:val="en-US" w:eastAsia="zh-CN"/>
        </w:rPr>
        <w:t>重点</w:t>
      </w:r>
      <w:r>
        <w:rPr>
          <w:rFonts w:hint="eastAsia" w:ascii="Times New Roman" w:hAnsi="Times New Roman" w:eastAsia="仿宋_GB2312" w:cs="Times New Roman"/>
          <w:color w:val="000000"/>
          <w:sz w:val="32"/>
          <w:szCs w:val="32"/>
          <w:highlight w:val="none"/>
        </w:rPr>
        <w:t>国家</w:t>
      </w:r>
      <w:r>
        <w:rPr>
          <w:rFonts w:hint="eastAsia"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地区知识产权</w:t>
      </w:r>
      <w:r>
        <w:rPr>
          <w:rFonts w:hint="eastAsia" w:ascii="Times New Roman" w:hAnsi="Times New Roman" w:eastAsia="仿宋_GB2312" w:cs="Times New Roman"/>
          <w:color w:val="000000"/>
          <w:sz w:val="32"/>
          <w:szCs w:val="32"/>
          <w:highlight w:val="none"/>
          <w:lang w:val="en-US" w:eastAsia="zh-CN"/>
        </w:rPr>
        <w:t>法律制度和政策</w:t>
      </w:r>
      <w:r>
        <w:rPr>
          <w:rFonts w:hint="eastAsia" w:ascii="Times New Roman" w:hAnsi="Times New Roman" w:eastAsia="仿宋_GB2312" w:cs="Times New Roman"/>
          <w:color w:val="000000"/>
          <w:sz w:val="32"/>
          <w:szCs w:val="32"/>
          <w:highlight w:val="none"/>
        </w:rPr>
        <w:t>环境</w:t>
      </w:r>
      <w:r>
        <w:rPr>
          <w:rFonts w:hint="eastAsia" w:ascii="Times New Roman" w:hAnsi="Times New Roman" w:eastAsia="仿宋_GB2312" w:cs="Times New Roman"/>
          <w:color w:val="000000"/>
          <w:sz w:val="32"/>
          <w:szCs w:val="32"/>
          <w:highlight w:val="none"/>
          <w:lang w:val="en-US" w:eastAsia="zh-CN"/>
        </w:rPr>
        <w:t>的分析</w:t>
      </w:r>
      <w:r>
        <w:rPr>
          <w:rFonts w:hint="eastAsia" w:ascii="Times New Roman" w:hAnsi="Times New Roman" w:eastAsia="仿宋_GB2312" w:cs="Times New Roman"/>
          <w:color w:val="000000"/>
          <w:sz w:val="32"/>
          <w:szCs w:val="32"/>
          <w:highlight w:val="none"/>
        </w:rPr>
        <w:t>研究、政策宣讲和业务</w:t>
      </w:r>
      <w:r>
        <w:rPr>
          <w:rFonts w:hint="eastAsia" w:ascii="Times New Roman" w:hAnsi="Times New Roman" w:eastAsia="仿宋_GB2312" w:cs="Times New Roman"/>
          <w:color w:val="000000"/>
          <w:sz w:val="32"/>
          <w:szCs w:val="32"/>
          <w:highlight w:val="none"/>
          <w:lang w:val="en-US" w:eastAsia="zh-CN"/>
        </w:rPr>
        <w:t>交流</w:t>
      </w:r>
      <w:r>
        <w:rPr>
          <w:rFonts w:hint="eastAsia" w:ascii="Times New Roman" w:hAnsi="Times New Roman" w:eastAsia="仿宋_GB2312" w:cs="Times New Roman"/>
          <w:color w:val="000000"/>
          <w:sz w:val="32"/>
          <w:szCs w:val="32"/>
          <w:highlight w:val="none"/>
        </w:rPr>
        <w:t>。加强与世界知识产权组织（WIPO）、</w:t>
      </w:r>
      <w:r>
        <w:rPr>
          <w:rFonts w:hint="eastAsia" w:ascii="Times New Roman" w:hAnsi="Times New Roman" w:eastAsia="仿宋_GB2312" w:cs="Times New Roman"/>
          <w:color w:val="000000"/>
          <w:kern w:val="2"/>
          <w:sz w:val="32"/>
          <w:szCs w:val="32"/>
          <w:lang w:val="en-US" w:eastAsia="zh-CN" w:bidi="ar"/>
        </w:rPr>
        <w:t>亚太经济合作组织（</w:t>
      </w:r>
      <w:r>
        <w:rPr>
          <w:rFonts w:hint="default" w:ascii="Times New Roman" w:hAnsi="Times New Roman" w:eastAsia="仿宋_GB2312" w:cs="Times New Roman"/>
          <w:color w:val="000000"/>
          <w:kern w:val="2"/>
          <w:sz w:val="32"/>
          <w:szCs w:val="32"/>
          <w:lang w:val="en-US" w:eastAsia="zh-CN" w:bidi="ar"/>
        </w:rPr>
        <w:t>APEC</w:t>
      </w:r>
      <w:r>
        <w:rPr>
          <w:rFonts w:hint="eastAsia" w:ascii="Times New Roman" w:hAnsi="Times New Roman" w:eastAsia="仿宋_GB2312" w:cs="Times New Roman"/>
          <w:color w:val="000000"/>
          <w:kern w:val="2"/>
          <w:sz w:val="32"/>
          <w:szCs w:val="32"/>
          <w:lang w:val="en-US" w:eastAsia="zh-CN" w:bidi="ar"/>
        </w:rPr>
        <w:t>）、</w:t>
      </w:r>
      <w:r>
        <w:rPr>
          <w:rFonts w:hint="eastAsia" w:ascii="Times New Roman" w:hAnsi="Times New Roman" w:eastAsia="仿宋_GB2312" w:cs="Times New Roman"/>
          <w:color w:val="000000"/>
          <w:sz w:val="32"/>
          <w:szCs w:val="32"/>
          <w:highlight w:val="none"/>
        </w:rPr>
        <w:t>欧洲专利局（EPO）、国际保护知识产权协会（AIPPI）、国际商标协会</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INTA</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新加坡知识产权局（IPOS）</w:t>
      </w:r>
      <w:r>
        <w:rPr>
          <w:rFonts w:hint="eastAsia" w:ascii="Times New Roman" w:hAnsi="Times New Roman" w:eastAsia="仿宋_GB2312" w:cs="Times New Roman"/>
          <w:color w:val="000000"/>
          <w:sz w:val="32"/>
          <w:szCs w:val="32"/>
          <w:highlight w:val="none"/>
        </w:rPr>
        <w:t>等国际</w:t>
      </w:r>
      <w:r>
        <w:rPr>
          <w:rFonts w:hint="eastAsia" w:ascii="Times New Roman" w:hAnsi="Times New Roman" w:eastAsia="仿宋_GB2312" w:cs="Times New Roman"/>
          <w:color w:val="000000"/>
          <w:sz w:val="32"/>
          <w:szCs w:val="32"/>
          <w:highlight w:val="none"/>
          <w:lang w:val="en-US" w:eastAsia="zh-CN"/>
        </w:rPr>
        <w:t>组织、</w:t>
      </w:r>
      <w:r>
        <w:rPr>
          <w:rFonts w:hint="eastAsia" w:ascii="Times New Roman" w:hAnsi="Times New Roman" w:eastAsia="仿宋_GB2312" w:cs="Times New Roman"/>
          <w:color w:val="000000"/>
          <w:sz w:val="32"/>
          <w:szCs w:val="32"/>
          <w:highlight w:val="none"/>
        </w:rPr>
        <w:t>机构的交流合作</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推动国际许可贸易工作者协会（LESI）国际大会、世界知识产权组织（WIPO）暑期学校</w:t>
      </w:r>
      <w:r>
        <w:rPr>
          <w:rFonts w:hint="eastAsia" w:ascii="Times New Roman" w:hAnsi="Times New Roman" w:eastAsia="仿宋_GB2312" w:cs="Times New Roman"/>
          <w:color w:val="000000"/>
          <w:sz w:val="32"/>
          <w:szCs w:val="32"/>
          <w:highlight w:val="none"/>
          <w:lang w:val="en-US" w:eastAsia="zh-CN"/>
        </w:rPr>
        <w:t>等</w:t>
      </w:r>
      <w:r>
        <w:rPr>
          <w:rFonts w:hint="eastAsia" w:ascii="Times New Roman" w:hAnsi="Times New Roman" w:eastAsia="仿宋_GB2312" w:cs="Times New Roman"/>
          <w:color w:val="000000"/>
          <w:sz w:val="32"/>
          <w:szCs w:val="32"/>
          <w:highlight w:val="none"/>
        </w:rPr>
        <w:t>重大知识产权国际性会议、研讨活动落地深</w:t>
      </w:r>
      <w:r>
        <w:rPr>
          <w:rFonts w:hint="eastAsia" w:ascii="Times New Roman" w:hAnsi="Times New Roman" w:eastAsia="仿宋_GB2312" w:cs="Times New Roman"/>
          <w:color w:val="000000"/>
          <w:sz w:val="32"/>
          <w:szCs w:val="32"/>
          <w:highlight w:val="none"/>
          <w:lang w:val="en-US" w:eastAsia="zh-CN"/>
        </w:rPr>
        <w:t>圳</w:t>
      </w:r>
      <w:r>
        <w:rPr>
          <w:rFonts w:hint="eastAsia" w:ascii="Times New Roman" w:hAnsi="Times New Roman" w:eastAsia="仿宋_GB2312" w:cs="Times New Roman"/>
          <w:color w:val="000000"/>
          <w:sz w:val="32"/>
          <w:szCs w:val="32"/>
          <w:highlight w:val="none"/>
        </w:rPr>
        <w:t>。</w:t>
      </w:r>
      <w:r>
        <w:rPr>
          <w:rFonts w:hint="eastAsia" w:eastAsia="仿宋_GB2312" w:cs="Times New Roman"/>
          <w:color w:val="000000"/>
          <w:sz w:val="32"/>
          <w:szCs w:val="32"/>
          <w:highlight w:val="none"/>
          <w:lang w:eastAsia="zh-CN"/>
        </w:rPr>
        <w:t>指导</w:t>
      </w:r>
      <w:r>
        <w:rPr>
          <w:rFonts w:hint="eastAsia" w:ascii="Times New Roman" w:hAnsi="Times New Roman" w:eastAsia="仿宋_GB2312" w:cs="Times New Roman"/>
          <w:color w:val="000000"/>
          <w:sz w:val="32"/>
          <w:szCs w:val="32"/>
          <w:highlight w:val="none"/>
        </w:rPr>
        <w:t>企业申报世界知识产权组织全球奖</w:t>
      </w:r>
      <w:r>
        <w:rPr>
          <w:rFonts w:hint="eastAsia" w:ascii="Times New Roman" w:hAnsi="Times New Roman" w:eastAsia="仿宋_GB2312" w:cs="仿宋_GB2312"/>
          <w:color w:val="000000"/>
          <w:kern w:val="2"/>
          <w:sz w:val="32"/>
          <w:szCs w:val="32"/>
          <w:lang w:val="en-US" w:eastAsia="zh-CN" w:bidi="ar"/>
        </w:rPr>
        <w:t>，支持企业、专业机构通过研学等方式加强与世界知识产权组织（</w:t>
      </w:r>
      <w:r>
        <w:rPr>
          <w:rFonts w:hint="default" w:ascii="Times New Roman" w:hAnsi="Times New Roman" w:eastAsia="仿宋_GB2312" w:cs="Times New Roman"/>
          <w:color w:val="000000"/>
          <w:kern w:val="2"/>
          <w:sz w:val="32"/>
          <w:szCs w:val="32"/>
          <w:lang w:val="en-US" w:eastAsia="zh-CN" w:bidi="ar"/>
        </w:rPr>
        <w:t>WIPO</w:t>
      </w:r>
      <w:r>
        <w:rPr>
          <w:rFonts w:hint="eastAsia" w:ascii="Times New Roman" w:hAnsi="Times New Roman" w:eastAsia="仿宋_GB2312" w:cs="仿宋_GB2312"/>
          <w:color w:val="000000"/>
          <w:kern w:val="2"/>
          <w:sz w:val="32"/>
          <w:szCs w:val="32"/>
          <w:lang w:val="en-US" w:eastAsia="zh-CN" w:bidi="ar"/>
        </w:rPr>
        <w:t>）合作交流。</w:t>
      </w:r>
    </w:p>
    <w:p>
      <w:pPr>
        <w:keepNext w:val="0"/>
        <w:keepLines w:val="0"/>
        <w:pageBreakBefore w:val="0"/>
        <w:widowControl w:val="0"/>
        <w:tabs>
          <w:tab w:val="left" w:pos="3780"/>
        </w:tabs>
        <w:kinsoku/>
        <w:wordWrap/>
        <w:overflowPunct/>
        <w:topLinePunct w:val="0"/>
        <w:autoSpaceDE/>
        <w:autoSpaceDN/>
        <w:bidi w:val="0"/>
        <w:adjustRightInd/>
        <w:snapToGrid/>
        <w:spacing w:line="579" w:lineRule="exact"/>
        <w:ind w:firstLine="642" w:firstLineChars="200"/>
        <w:textAlignment w:val="auto"/>
        <w:rPr>
          <w:rFonts w:hint="default" w:ascii="Times New Roman" w:hAnsi="Times New Roman" w:eastAsia="仿宋_GB2312" w:cs="Times New Roman"/>
          <w:color w:val="000000"/>
          <w:sz w:val="32"/>
          <w:szCs w:val="32"/>
          <w:highlight w:val="none"/>
          <w:lang w:val="en-US" w:eastAsia="zh-CN"/>
        </w:rPr>
      </w:pPr>
      <w:r>
        <w:rPr>
          <w:rFonts w:hint="eastAsia" w:ascii="楷体" w:hAnsi="楷体" w:eastAsia="楷体" w:cs="楷体"/>
          <w:b/>
          <w:bCs/>
          <w:i w:val="0"/>
          <w:iCs w:val="0"/>
          <w:caps w:val="0"/>
          <w:color w:val="auto"/>
          <w:spacing w:val="0"/>
          <w:kern w:val="0"/>
          <w:sz w:val="32"/>
          <w:szCs w:val="32"/>
          <w:highlight w:val="none"/>
          <w:lang w:val="en-US" w:eastAsia="zh-CN" w:bidi="ar-SA"/>
        </w:rPr>
        <w:t>24.加强知识产权人才队伍建设。</w:t>
      </w:r>
      <w:r>
        <w:rPr>
          <w:rFonts w:hint="eastAsia" w:ascii="Times New Roman" w:hAnsi="Times New Roman" w:eastAsia="仿宋_GB2312" w:cs="Times New Roman"/>
          <w:color w:val="000000"/>
          <w:sz w:val="32"/>
          <w:szCs w:val="32"/>
          <w:highlight w:val="none"/>
        </w:rPr>
        <w:t>加强党政领导干部和行政管理人员知识产权培训。</w:t>
      </w:r>
      <w:r>
        <w:rPr>
          <w:rFonts w:hint="eastAsia" w:ascii="Times New Roman" w:hAnsi="Times New Roman" w:eastAsia="仿宋_GB2312" w:cs="Times New Roman"/>
          <w:color w:val="000000"/>
          <w:sz w:val="32"/>
          <w:szCs w:val="32"/>
          <w:highlight w:val="none"/>
          <w:lang w:val="en-US" w:eastAsia="zh-CN"/>
        </w:rPr>
        <w:t>强化知识产权执法司法队伍建设。完善知识产权技术调查官制度，加强技术调查官遴选、使用和管理。加快推进北京大学国际知识产权学院、深圳大学国家知识产权培训（广东）基地、国家知识产权局深圳高新区审查员实践基地等人才培养载体建设。支持在深高校设置知识产权硕士专业学位。组织做好全国专利代理师资格考试深圳考点考务工作。深化知识产权专业职称评审改革。加大知识产权仲裁员、律师</w:t>
      </w:r>
      <w:r>
        <w:rPr>
          <w:rFonts w:hint="eastAsia" w:ascii="仿宋_GB2312" w:hAnsi="Times New Roman" w:eastAsia="仿宋_GB2312" w:cs="Times New Roman"/>
          <w:color w:val="000000"/>
          <w:kern w:val="2"/>
          <w:sz w:val="32"/>
          <w:szCs w:val="32"/>
          <w:highlight w:val="none"/>
          <w:lang w:val="en-US" w:eastAsia="zh-CN" w:bidi="ar-SA"/>
        </w:rPr>
        <w:t>、调解员和志愿者培养力度。积极推动涉外知识产权律师实践平台落地，加快培养熟悉国际规则的知识产权高端人才。到2030年，新增涉外律师100名以上，中级以上知识产权师达2150人以上，知识产权志愿者达1000人以上。</w:t>
      </w:r>
    </w:p>
    <w:tbl>
      <w:tblPr>
        <w:tblStyle w:val="1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highlight w:val="none"/>
                <w:lang w:val="en-US" w:eastAsia="zh-CN"/>
              </w:rPr>
            </w:pPr>
            <w:r>
              <w:rPr>
                <w:rFonts w:hint="eastAsia" w:ascii="Times New Roman" w:hAnsi="Times New Roman" w:cs="Times New Roman"/>
                <w:color w:val="000000"/>
                <w:highlight w:val="none"/>
              </w:rPr>
              <w:t>专栏</w:t>
            </w:r>
            <w:r>
              <w:rPr>
                <w:rFonts w:hint="eastAsia" w:ascii="Times New Roman" w:hAnsi="Times New Roman" w:cs="Times New Roman"/>
                <w:color w:val="000000"/>
                <w:highlight w:val="none"/>
                <w:lang w:val="en-US" w:eastAsia="zh-CN"/>
              </w:rPr>
              <w:t>11</w:t>
            </w:r>
            <w:r>
              <w:rPr>
                <w:rFonts w:hint="default" w:ascii="Times New Roman" w:hAnsi="Times New Roman" w:cs="Times New Roman"/>
                <w:color w:val="000000"/>
                <w:highlight w:val="none"/>
              </w:rPr>
              <w:t>：</w:t>
            </w:r>
            <w:r>
              <w:rPr>
                <w:rFonts w:hint="eastAsia" w:ascii="Times New Roman" w:hAnsi="Times New Roman" w:cs="Times New Roman"/>
                <w:color w:val="000000"/>
                <w:highlight w:val="none"/>
                <w:lang w:val="en-US" w:eastAsia="zh-CN"/>
              </w:rPr>
              <w:t>知识产权人才培育工程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noWrap w:val="0"/>
            <w:vAlign w:val="top"/>
          </w:tcPr>
          <w:p>
            <w:pPr>
              <w:keepNext w:val="0"/>
              <w:keepLines w:val="0"/>
              <w:suppressLineNumbers w:val="0"/>
              <w:spacing w:before="0" w:beforeAutospacing="0" w:after="0" w:afterAutospacing="0"/>
              <w:ind w:left="0" w:right="0" w:firstLine="420" w:firstLineChars="200"/>
              <w:rPr>
                <w:rFonts w:hint="eastAsia" w:ascii="Times New Roman" w:hAnsi="Times New Roman" w:cs="Times New Roman"/>
                <w:color w:val="000000"/>
                <w:highlight w:val="none"/>
              </w:rPr>
            </w:pPr>
            <w:r>
              <w:rPr>
                <w:rFonts w:hint="eastAsia" w:ascii="Times New Roman" w:hAnsi="Times New Roman" w:cs="Times New Roman"/>
                <w:color w:val="000000"/>
                <w:highlight w:val="none"/>
                <w:lang w:val="en-US" w:eastAsia="zh-CN"/>
              </w:rPr>
              <w:t>建设</w:t>
            </w:r>
            <w:r>
              <w:rPr>
                <w:rFonts w:hint="eastAsia" w:ascii="Times New Roman" w:hAnsi="Times New Roman" w:cs="Times New Roman"/>
                <w:color w:val="000000"/>
                <w:highlight w:val="none"/>
              </w:rPr>
              <w:t>知识产权领域专业特色学院</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rPr>
              <w:t>推动北京大学深圳研究生院高标准建设国际知识产权学院，培养一批通晓国际规则、熟悉深圳产业、具有落地解决能力的知识产权专业人才。支持北京大学深圳研究生院、中国人民大学深圳研究院、深圳大学、深圳理工大学建设</w:t>
            </w:r>
            <w:r>
              <w:rPr>
                <w:rFonts w:hint="eastAsia" w:cs="Times New Roman"/>
                <w:color w:val="000000"/>
                <w:highlight w:val="none"/>
                <w:lang w:eastAsia="zh-CN"/>
              </w:rPr>
              <w:t>知识产权</w:t>
            </w:r>
            <w:r>
              <w:rPr>
                <w:rFonts w:hint="eastAsia" w:ascii="Times New Roman" w:hAnsi="Times New Roman" w:cs="Times New Roman"/>
                <w:color w:val="000000"/>
                <w:highlight w:val="none"/>
              </w:rPr>
              <w:t>实践</w:t>
            </w:r>
            <w:r>
              <w:rPr>
                <w:rFonts w:hint="eastAsia" w:cs="Times New Roman"/>
                <w:color w:val="000000"/>
                <w:highlight w:val="none"/>
                <w:lang w:eastAsia="zh-CN"/>
              </w:rPr>
              <w:t>教学</w:t>
            </w:r>
            <w:r>
              <w:rPr>
                <w:rFonts w:hint="eastAsia" w:ascii="Times New Roman" w:hAnsi="Times New Roman" w:cs="Times New Roman"/>
                <w:color w:val="000000"/>
                <w:highlight w:val="none"/>
              </w:rPr>
              <w:t>基地，将知识产权课程纳入重点产业相关的人才培养体系。</w:t>
            </w:r>
          </w:p>
          <w:p>
            <w:pPr>
              <w:keepNext w:val="0"/>
              <w:keepLines w:val="0"/>
              <w:suppressLineNumbers w:val="0"/>
              <w:spacing w:before="0" w:beforeAutospacing="0" w:after="0" w:afterAutospacing="0"/>
              <w:ind w:left="0" w:right="0" w:firstLine="420" w:firstLineChars="200"/>
              <w:rPr>
                <w:rFonts w:hint="default" w:ascii="Times New Roman" w:hAnsi="Times New Roman" w:eastAsia="宋体" w:cs="Times New Roman"/>
                <w:color w:val="000000"/>
                <w:highlight w:val="none"/>
                <w:lang w:val="en-US" w:eastAsia="zh-CN"/>
              </w:rPr>
            </w:pPr>
            <w:r>
              <w:rPr>
                <w:rFonts w:hint="eastAsia" w:ascii="Times New Roman" w:hAnsi="Times New Roman" w:cs="Times New Roman"/>
                <w:color w:val="000000"/>
                <w:highlight w:val="none"/>
                <w:lang w:val="en-US" w:eastAsia="zh-CN"/>
              </w:rPr>
              <w:t>打造</w:t>
            </w:r>
            <w:r>
              <w:rPr>
                <w:rFonts w:hint="eastAsia" w:ascii="Times New Roman" w:hAnsi="Times New Roman" w:cs="Times New Roman"/>
                <w:color w:val="000000"/>
                <w:highlight w:val="none"/>
              </w:rPr>
              <w:t>知识产权专业技术</w:t>
            </w:r>
            <w:r>
              <w:rPr>
                <w:rFonts w:hint="eastAsia" w:ascii="Times New Roman" w:hAnsi="Times New Roman" w:cs="Times New Roman"/>
                <w:color w:val="000000"/>
                <w:highlight w:val="none"/>
                <w:lang w:val="en-US" w:eastAsia="zh-CN"/>
              </w:rPr>
              <w:t>队伍</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rPr>
              <w:t>建设国家技术转移南方中心</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rPr>
              <w:t>加强</w:t>
            </w:r>
            <w:r>
              <w:rPr>
                <w:rFonts w:hint="eastAsia" w:cs="Times New Roman"/>
                <w:color w:val="000000"/>
                <w:highlight w:val="none"/>
                <w:lang w:eastAsia="zh-CN"/>
              </w:rPr>
              <w:t>培养</w:t>
            </w:r>
            <w:r>
              <w:rPr>
                <w:rFonts w:hint="eastAsia" w:ascii="Times New Roman" w:hAnsi="Times New Roman" w:cs="Times New Roman"/>
                <w:color w:val="000000"/>
                <w:highlight w:val="none"/>
              </w:rPr>
              <w:t>技术经理人队伍</w:t>
            </w:r>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培育一批知识产权转化运用技术经理人，协助开展专利技术筛选、对接分析、路演推介、交易撮合等活动。编制知识产权人才认定标准，培育和引进一批市级知识产权人才。遴选支持一批知识产权领军人才和青年拔尖人才。</w:t>
            </w:r>
          </w:p>
        </w:tc>
      </w:tr>
    </w:tbl>
    <w:p>
      <w:pPr>
        <w:pStyle w:val="2"/>
        <w:keepNext w:val="0"/>
        <w:keepLines w:val="0"/>
        <w:pageBreakBefore w:val="0"/>
        <w:widowControl w:val="0"/>
        <w:kinsoku/>
        <w:wordWrap/>
        <w:overflowPunct/>
        <w:topLinePunct w:val="0"/>
        <w:autoSpaceDE/>
        <w:autoSpaceDN/>
        <w:bidi w:val="0"/>
        <w:adjustRightInd/>
        <w:snapToGrid/>
        <w:spacing w:line="579" w:lineRule="exact"/>
        <w:ind w:firstLine="640"/>
        <w:textAlignment w:val="auto"/>
        <w:rPr>
          <w:rFonts w:ascii="Times New Roman" w:hAnsi="Times New Roman" w:cs="Times New Roman"/>
          <w:color w:val="auto"/>
          <w:highlight w:val="none"/>
        </w:rPr>
      </w:pPr>
      <w:bookmarkStart w:id="34" w:name="_Toc32319"/>
      <w:bookmarkStart w:id="35" w:name="_Toc13526"/>
      <w:bookmarkStart w:id="36" w:name="_Toc26450"/>
      <w:bookmarkStart w:id="37" w:name="_Toc27677"/>
      <w:bookmarkStart w:id="38" w:name="_Toc7939"/>
      <w:bookmarkStart w:id="39" w:name="_Toc5313"/>
      <w:bookmarkStart w:id="40" w:name="_Toc27607"/>
      <w:r>
        <w:rPr>
          <w:rFonts w:hint="eastAsia" w:ascii="Times New Roman" w:hAnsi="Times New Roman" w:cs="Times New Roman"/>
          <w:color w:val="auto"/>
          <w:highlight w:val="none"/>
          <w:lang w:val="en-US" w:eastAsia="zh-CN"/>
        </w:rPr>
        <w:t>八</w:t>
      </w:r>
      <w:r>
        <w:rPr>
          <w:rFonts w:hint="eastAsia" w:ascii="Times New Roman" w:hAnsi="Times New Roman" w:cs="Times New Roman"/>
          <w:color w:val="auto"/>
          <w:highlight w:val="none"/>
        </w:rPr>
        <w:t>、</w:t>
      </w:r>
      <w:bookmarkEnd w:id="34"/>
      <w:bookmarkEnd w:id="35"/>
      <w:bookmarkEnd w:id="36"/>
      <w:bookmarkEnd w:id="37"/>
      <w:bookmarkEnd w:id="38"/>
      <w:bookmarkEnd w:id="39"/>
      <w:bookmarkEnd w:id="40"/>
      <w:r>
        <w:rPr>
          <w:rFonts w:hint="eastAsia" w:ascii="Times New Roman" w:hAnsi="Times New Roman" w:cs="Times New Roman"/>
          <w:color w:val="auto"/>
          <w:highlight w:val="none"/>
        </w:rPr>
        <w:t>保障措施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outlineLvl w:val="1"/>
        <w:rPr>
          <w:rFonts w:ascii="Times New Roman" w:hAnsi="Times New Roman" w:cs="Times New Roman"/>
        </w:rPr>
      </w:pPr>
      <w:bookmarkStart w:id="41" w:name="_Toc9306"/>
      <w:bookmarkStart w:id="42" w:name="_Toc4103"/>
      <w:bookmarkStart w:id="43" w:name="_Toc22348"/>
      <w:bookmarkStart w:id="44" w:name="_Toc7497"/>
      <w:bookmarkStart w:id="45" w:name="_Toc19600"/>
      <w:bookmarkStart w:id="46" w:name="_Toc3309"/>
      <w:r>
        <w:rPr>
          <w:rFonts w:hint="eastAsia" w:ascii="仿宋_GB2312" w:hAnsi="等线" w:eastAsia="仿宋_GB2312" w:cs="Times New Roman"/>
          <w:bCs/>
          <w:color w:val="auto"/>
          <w:sz w:val="32"/>
          <w:highlight w:val="none"/>
        </w:rPr>
        <w:t>坚持党对知识产权工作的全面领导，充分发挥知识产权联席会议</w:t>
      </w:r>
      <w:r>
        <w:rPr>
          <w:rFonts w:hint="eastAsia" w:ascii="仿宋_GB2312" w:hAnsi="等线" w:eastAsia="仿宋_GB2312" w:cs="Times New Roman"/>
          <w:bCs/>
          <w:color w:val="auto"/>
          <w:sz w:val="32"/>
          <w:highlight w:val="none"/>
          <w:lang w:val="en-US" w:eastAsia="zh-CN"/>
        </w:rPr>
        <w:t>作用，逐步完善高效的知识产权综合管理体制，形成市区联动、部门协同的知识产权工作格局。</w:t>
      </w:r>
      <w:r>
        <w:rPr>
          <w:rFonts w:hint="eastAsia" w:ascii="仿宋_GB2312" w:hAnsi="仿宋_GB2312" w:eastAsia="仿宋_GB2312" w:cs="仿宋_GB2312"/>
          <w:color w:val="auto"/>
          <w:sz w:val="32"/>
          <w:szCs w:val="32"/>
          <w:highlight w:val="none"/>
          <w:shd w:val="clear" w:color="auto" w:fill="FFFFFF"/>
          <w:lang w:val="en"/>
        </w:rPr>
        <w:t>各区、各部门要高度重视知识产权工作，根据规划确定</w:t>
      </w:r>
      <w:r>
        <w:rPr>
          <w:rFonts w:hint="eastAsia" w:ascii="仿宋_GB2312" w:hAnsi="仿宋_GB2312" w:eastAsia="仿宋_GB2312" w:cs="仿宋_GB2312"/>
          <w:color w:val="auto"/>
          <w:sz w:val="32"/>
          <w:szCs w:val="32"/>
          <w:highlight w:val="none"/>
          <w:shd w:val="clear" w:color="auto" w:fill="FFFFFF"/>
          <w:lang w:val="en-US" w:eastAsia="zh-CN"/>
        </w:rPr>
        <w:t>的</w:t>
      </w:r>
      <w:r>
        <w:rPr>
          <w:rFonts w:hint="eastAsia" w:ascii="仿宋_GB2312" w:hAnsi="仿宋_GB2312" w:eastAsia="仿宋_GB2312" w:cs="仿宋_GB2312"/>
          <w:color w:val="auto"/>
          <w:sz w:val="32"/>
          <w:szCs w:val="32"/>
          <w:highlight w:val="none"/>
          <w:shd w:val="clear" w:color="auto" w:fill="FFFFFF"/>
          <w:lang w:val="en"/>
        </w:rPr>
        <w:t>区域和系统工作目标和任务</w:t>
      </w:r>
      <w:r>
        <w:rPr>
          <w:rFonts w:hint="eastAsia" w:ascii="仿宋_GB2312" w:hAnsi="仿宋_GB2312" w:eastAsia="仿宋_GB2312" w:cs="仿宋_GB2312"/>
          <w:color w:val="auto"/>
          <w:sz w:val="32"/>
          <w:szCs w:val="32"/>
          <w:highlight w:val="none"/>
          <w:shd w:val="clear" w:color="auto" w:fill="FFFFFF"/>
          <w:lang w:val="en" w:eastAsia="zh-CN"/>
        </w:rPr>
        <w:t>，因地制宜探索知识产权工作创新举措</w:t>
      </w:r>
      <w:r>
        <w:rPr>
          <w:rFonts w:hint="eastAsia" w:ascii="仿宋_GB2312" w:hAnsi="仿宋_GB2312" w:eastAsia="仿宋_GB2312" w:cs="仿宋_GB2312"/>
          <w:color w:val="auto"/>
          <w:sz w:val="32"/>
          <w:szCs w:val="32"/>
          <w:highlight w:val="none"/>
          <w:shd w:val="clear" w:color="auto" w:fill="FFFFFF"/>
          <w:lang w:val="en"/>
        </w:rPr>
        <w:t>。相关社会组织和行业协会要主动作为，</w:t>
      </w:r>
      <w:r>
        <w:rPr>
          <w:rFonts w:hint="eastAsia" w:ascii="仿宋_GB2312" w:hAnsi="仿宋_GB2312" w:eastAsia="仿宋_GB2312" w:cs="仿宋_GB2312"/>
          <w:color w:val="auto"/>
          <w:sz w:val="32"/>
          <w:szCs w:val="32"/>
          <w:highlight w:val="none"/>
          <w:shd w:val="clear" w:color="auto" w:fill="FFFFFF"/>
          <w:lang w:val="en-US" w:eastAsia="zh-CN"/>
        </w:rPr>
        <w:t>广大企业要发挥主体作用，</w:t>
      </w:r>
      <w:r>
        <w:rPr>
          <w:rFonts w:hint="eastAsia" w:ascii="仿宋_GB2312" w:hAnsi="仿宋_GB2312" w:eastAsia="仿宋_GB2312" w:cs="仿宋_GB2312"/>
          <w:color w:val="auto"/>
          <w:sz w:val="32"/>
          <w:szCs w:val="32"/>
          <w:highlight w:val="none"/>
          <w:shd w:val="clear" w:color="auto" w:fill="FFFFFF"/>
          <w:lang w:val="en"/>
        </w:rPr>
        <w:t>积极参与规划实施。</w:t>
      </w:r>
      <w:r>
        <w:rPr>
          <w:rFonts w:hint="eastAsia" w:ascii="仿宋_GB2312" w:hAnsi="等线" w:eastAsia="仿宋_GB2312" w:cs="Times New Roman"/>
          <w:bCs/>
          <w:color w:val="auto"/>
          <w:sz w:val="32"/>
          <w:highlight w:val="none"/>
          <w:lang w:val="en-US" w:eastAsia="zh-CN"/>
        </w:rPr>
        <w:t>深圳市市场监督管理局（深圳市知识产权局）</w:t>
      </w:r>
      <w:bookmarkStart w:id="47" w:name="_GoBack"/>
      <w:bookmarkEnd w:id="47"/>
      <w:r>
        <w:rPr>
          <w:rFonts w:hint="eastAsia" w:ascii="仿宋_GB2312" w:hAnsi="等线" w:eastAsia="仿宋_GB2312" w:cs="Times New Roman"/>
          <w:bCs/>
          <w:color w:val="auto"/>
          <w:sz w:val="32"/>
          <w:highlight w:val="none"/>
          <w:lang w:val="en-US" w:eastAsia="zh-CN"/>
        </w:rPr>
        <w:t>会同有关部门</w:t>
      </w:r>
      <w:r>
        <w:rPr>
          <w:rFonts w:hint="eastAsia" w:ascii="仿宋_GB2312" w:hAnsi="等线" w:eastAsia="仿宋_GB2312" w:cs="Times New Roman"/>
          <w:bCs/>
          <w:color w:val="auto"/>
          <w:sz w:val="32"/>
          <w:highlight w:val="none"/>
        </w:rPr>
        <w:t>实行动态监测和定期评估机制，设置关键指标跟踪体系，对规划落实情况开展监督检查工作</w:t>
      </w:r>
      <w:r>
        <w:rPr>
          <w:rFonts w:hint="eastAsia" w:ascii="仿宋_GB2312" w:hAnsi="等线" w:eastAsia="仿宋_GB2312" w:cs="Times New Roman"/>
          <w:bCs/>
          <w:color w:val="auto"/>
          <w:sz w:val="32"/>
          <w:highlight w:val="none"/>
          <w:lang w:eastAsia="zh-CN"/>
        </w:rPr>
        <w:t>，及时总结</w:t>
      </w:r>
      <w:r>
        <w:rPr>
          <w:rFonts w:hint="eastAsia" w:ascii="仿宋_GB2312" w:hAnsi="等线" w:eastAsia="仿宋_GB2312" w:cs="Times New Roman"/>
          <w:bCs/>
          <w:color w:val="auto"/>
          <w:sz w:val="32"/>
          <w:highlight w:val="none"/>
          <w:lang w:val="en-US" w:eastAsia="zh-CN"/>
        </w:rPr>
        <w:t>宣传典型</w:t>
      </w:r>
      <w:r>
        <w:rPr>
          <w:rFonts w:hint="eastAsia" w:ascii="仿宋_GB2312" w:hAnsi="等线" w:eastAsia="仿宋_GB2312" w:cs="Times New Roman"/>
          <w:bCs/>
          <w:color w:val="auto"/>
          <w:sz w:val="32"/>
          <w:highlight w:val="none"/>
          <w:lang w:eastAsia="zh-CN"/>
        </w:rPr>
        <w:t>经验，研究改进规划实施工作。</w:t>
      </w:r>
      <w:bookmarkEnd w:id="41"/>
      <w:bookmarkEnd w:id="42"/>
      <w:bookmarkEnd w:id="43"/>
      <w:bookmarkEnd w:id="44"/>
      <w:bookmarkEnd w:id="45"/>
      <w:bookmarkEnd w:id="46"/>
    </w:p>
    <w:p/>
    <w:p/>
    <w:sectPr>
      <w:footerReference r:id="rId3" w:type="default"/>
      <w:pgSz w:w="11906" w:h="16838"/>
      <w:pgMar w:top="2098" w:right="1474" w:bottom="1984"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Light">
    <w:altName w:val="华文仿宋"/>
    <w:panose1 w:val="02010600030101010101"/>
    <w:charset w:val="00"/>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楷体">
    <w:altName w:val="方正楷体_GBK"/>
    <w:panose1 w:val="02010609060101010101"/>
    <w:charset w:val="00"/>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Times New Roman" w:hAnsi="Times New Roman" w:cs="Times New Roman"/>
      </w:rPr>
    </w:pPr>
    <w:r>
      <w:rPr>
        <w:rFonts w:ascii="Times New Roman" w:hAnsi="Times New Roman" w:cs="Times New Roman"/>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Bt2NwIAAG8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MUB0szDAREp96dEK7b4d+OxNcQZNZ/o58ZZvapSyZT48MIfBQPl4OuEeSykNUprBoqQy&#10;7su/zmM8+gUvJQ0GLaca74oS+V6jjwAMo+FGYz8a+qjuDCYXvUEtnYkLLsjRLJ1Rn/GeVjEHXExz&#10;ZMppGM270A873iMXq1UXdLSuPlT9BUyhZWGrd5bHNFEqb1fHAGk7xaNAvSroVNxgDrueDW8mDvqf&#10;+y7q8T+x/A1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eastAsia" w:ascii="Times New Roman" w:hAnsi="Times New Roman" w:cs="Times New Roman"/>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F3984C"/>
    <w:rsid w:val="5DEF41E6"/>
    <w:rsid w:val="BFF3984C"/>
    <w:rsid w:val="DD7EC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widowControl w:val="0"/>
      <w:spacing w:line="560" w:lineRule="exact"/>
      <w:ind w:firstLine="880" w:firstLineChars="200"/>
      <w:jc w:val="both"/>
      <w:outlineLvl w:val="0"/>
    </w:pPr>
    <w:rPr>
      <w:rFonts w:ascii="Times New Roman" w:hAnsi="Times New Roman" w:eastAsia="黑体" w:cs="Times New Roman"/>
      <w:kern w:val="44"/>
      <w:sz w:val="32"/>
      <w:szCs w:val="44"/>
      <w:lang w:val="en-US" w:eastAsia="zh-CN" w:bidi="ar-SA"/>
    </w:rPr>
  </w:style>
  <w:style w:type="paragraph" w:styleId="3">
    <w:name w:val="heading 2"/>
    <w:next w:val="1"/>
    <w:unhideWhenUsed/>
    <w:qFormat/>
    <w:uiPriority w:val="0"/>
    <w:pPr>
      <w:keepNext/>
      <w:keepLines/>
      <w:widowControl w:val="0"/>
      <w:spacing w:line="560" w:lineRule="exact"/>
      <w:ind w:firstLine="880" w:firstLineChars="200"/>
      <w:jc w:val="both"/>
      <w:outlineLvl w:val="1"/>
    </w:pPr>
    <w:rPr>
      <w:rFonts w:ascii="Times New Roman" w:hAnsi="Times New Roman" w:eastAsia="楷体_GB2312" w:cs="Times New Roman"/>
      <w:b/>
      <w:kern w:val="2"/>
      <w:sz w:val="32"/>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caption"/>
    <w:next w:val="1"/>
    <w:qFormat/>
    <w:uiPriority w:val="35"/>
    <w:pPr>
      <w:widowControl w:val="0"/>
      <w:jc w:val="both"/>
    </w:pPr>
    <w:rPr>
      <w:rFonts w:ascii="等线 Light" w:hAnsi="等线 Light" w:eastAsia="黑体" w:cs="Times New Roman"/>
      <w:kern w:val="2"/>
      <w:sz w:val="20"/>
      <w:szCs w:val="20"/>
      <w:lang w:val="en-US" w:eastAsia="zh-CN" w:bidi="ar-SA"/>
    </w:rPr>
  </w:style>
  <w:style w:type="paragraph" w:styleId="5">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24"/>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2"/>
    <w:next w:val="1"/>
    <w:qFormat/>
    <w:uiPriority w:val="0"/>
    <w:pPr>
      <w:widowControl w:val="0"/>
      <w:spacing w:line="560" w:lineRule="exact"/>
      <w:ind w:firstLine="420" w:firstLineChars="200"/>
      <w:jc w:val="both"/>
    </w:pPr>
    <w:rPr>
      <w:rFonts w:ascii="Times New Roman" w:hAnsi="Times New Roman" w:eastAsia="楷体_GB2312" w:cs="Times New Roman"/>
      <w:kern w:val="2"/>
      <w:sz w:val="32"/>
      <w:szCs w:val="24"/>
      <w:lang w:val="en-US" w:eastAsia="zh-CN" w:bidi="ar-SA"/>
    </w:rPr>
  </w:style>
  <w:style w:type="paragraph" w:styleId="9">
    <w:name w:val="Normal (Web)"/>
    <w:unhideWhenUsed/>
    <w:qFormat/>
    <w:uiPriority w:val="99"/>
    <w:pPr>
      <w:widowControl w:val="0"/>
      <w:spacing w:before="100" w:beforeAutospacing="1" w:after="100" w:afterAutospacing="1"/>
      <w:jc w:val="left"/>
    </w:pPr>
    <w:rPr>
      <w:rFonts w:ascii="Times New Roman" w:hAnsi="Times New Roman" w:eastAsia="宋体" w:cs="Times New Roman"/>
      <w:kern w:val="0"/>
      <w:sz w:val="24"/>
      <w:szCs w:val="24"/>
      <w:lang w:val="en-US" w:eastAsia="zh-CN" w:bidi="ar-SA"/>
    </w:rPr>
  </w:style>
  <w:style w:type="table" w:styleId="11">
    <w:name w:val="Table Gri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2026-04-03T07:27:00Z</dcterms:created>
  <dc:creator>liuyt1</dc:creator>
  <cp:lastModifiedBy>liuyt1</cp:lastModifiedBy>
  <cp:lastPrinted>2026-04-03T10:43:50Z</cp:lastPrinted>
  <dcterms:modified xsi:type="dcterms:W3CDTF">2026-04-03T17:16:09Z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2052-11.8.2.11764</vt:lpwstr>
  </property>
  <property fmtid="{D5CDD505-2E9C-101B-9397-08002B2CF9AE}" pid="3" name="ICV">
    <vt:lpwstr>1BB667DBC86169EB6E1ACE6937B2F448</vt:lpwstr>
  </property>
</Properties>
</file>