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Calibri" w:hAnsi="Calibri" w:eastAsia="宋体" w:cs="Times New Roman"/>
          <w:b/>
          <w:sz w:val="32"/>
          <w:szCs w:val="32"/>
        </w:rPr>
      </w:pPr>
      <w:r>
        <w:rPr>
          <w:rFonts w:ascii="Calibri" w:hAnsi="Calibri" w:eastAsia="宋体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-149225</wp:posOffset>
                </wp:positionH>
                <wp:positionV relativeFrom="paragraph">
                  <wp:posOffset>86995</wp:posOffset>
                </wp:positionV>
                <wp:extent cx="831215" cy="1835785"/>
                <wp:effectExtent l="0" t="0" r="6985" b="12065"/>
                <wp:wrapNone/>
                <wp:docPr id="307" name="文本框 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true">
                        <a:spLocks noChangeArrowheads="true"/>
                      </wps:cNvSpPr>
                      <wps:spPr bwMode="auto">
                        <a:xfrm>
                          <a:off x="0" y="0"/>
                          <a:ext cx="831272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</w:rPr>
                              <w:t>附件</w:t>
                            </w:r>
                            <w:r>
                              <w:rPr>
                                <w:rFonts w:hint="eastAsia" w:ascii="黑体" w:hAnsi="黑体" w:eastAsia="黑体" w:cs="黑体"/>
                                <w:sz w:val="32"/>
                                <w:szCs w:val="32"/>
                                <w:lang w:val="en-US" w:eastAsia="zh-CN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false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6" o:spid="_x0000_s1026" o:spt="202" type="#_x0000_t202" style="position:absolute;left:0pt;margin-left:-11.75pt;margin-top:6.85pt;height:144.55pt;width:65.45pt;z-index:251659264;mso-width-relative:page;mso-height-relative:margin;mso-height-percent:200;" fillcolor="#FFFFFF" filled="t" stroked="f" coordsize="21600,21600" o:gfxdata="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>
                      <w:pP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</w:rPr>
                        <w:t>附件</w:t>
                      </w:r>
                      <w:r>
                        <w:rPr>
                          <w:rFonts w:hint="eastAsia" w:ascii="黑体" w:hAnsi="黑体" w:eastAsia="黑体" w:cs="黑体"/>
                          <w:sz w:val="32"/>
                          <w:szCs w:val="32"/>
                          <w:lang w:val="en-US" w:eastAsia="zh-CN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</w:p>
    <w:p>
      <w:pPr>
        <w:spacing w:after="156" w:afterLines="50"/>
        <w:jc w:val="center"/>
        <w:rPr>
          <w:rFonts w:hint="eastAsia" w:ascii="Calibri" w:hAnsi="Calibri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b/>
          <w:sz w:val="32"/>
          <w:szCs w:val="32"/>
          <w:lang w:val="en-US" w:eastAsia="zh-CN"/>
        </w:rPr>
        <w:t>涉外知识产权律师服务企业/基层系列培训</w:t>
      </w:r>
    </w:p>
    <w:p>
      <w:pPr>
        <w:spacing w:after="156" w:afterLines="50"/>
        <w:jc w:val="center"/>
        <w:rPr>
          <w:rFonts w:hint="eastAsia" w:ascii="Calibri" w:hAnsi="Calibri" w:eastAsia="宋体" w:cs="Times New Roman"/>
          <w:b/>
          <w:sz w:val="32"/>
          <w:szCs w:val="32"/>
          <w:lang w:val="en-US" w:eastAsia="zh-CN"/>
        </w:rPr>
      </w:pPr>
      <w:r>
        <w:rPr>
          <w:rFonts w:hint="eastAsia" w:ascii="Calibri" w:hAnsi="Calibri" w:eastAsia="宋体" w:cs="Times New Roman"/>
          <w:b/>
          <w:sz w:val="32"/>
          <w:szCs w:val="32"/>
          <w:lang w:val="en-US" w:eastAsia="zh-CN"/>
        </w:rPr>
        <w:t>企业报名表</w:t>
      </w:r>
    </w:p>
    <w:tbl>
      <w:tblPr>
        <w:tblStyle w:val="3"/>
        <w:tblW w:w="4866" w:type="pct"/>
        <w:tblInd w:w="9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6"/>
        <w:gridCol w:w="1121"/>
        <w:gridCol w:w="1155"/>
        <w:gridCol w:w="1143"/>
        <w:gridCol w:w="1524"/>
        <w:gridCol w:w="659"/>
        <w:gridCol w:w="1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Theme="minorHAnsi" w:eastAsiaTheme="minorEastAsia"/>
                <w:sz w:val="21"/>
                <w:szCs w:val="21"/>
                <w:vertAlign w:val="baseline"/>
                <w:lang w:val="en-US" w:eastAsia="zh-CN"/>
              </w:rPr>
              <w:t>姓名</w:t>
            </w:r>
          </w:p>
        </w:tc>
        <w:tc>
          <w:tcPr>
            <w:tcW w:w="1372" w:type="pct"/>
            <w:gridSpan w:val="2"/>
            <w:vAlign w:val="center"/>
          </w:tcPr>
          <w:p>
            <w:pPr>
              <w:jc w:val="left"/>
              <w:rPr>
                <w:rFonts w:eastAsiaTheme="minorEastAsia"/>
                <w:sz w:val="18"/>
                <w:szCs w:val="18"/>
                <w:vertAlign w:val="baseline"/>
              </w:rPr>
            </w:pPr>
          </w:p>
        </w:tc>
        <w:tc>
          <w:tcPr>
            <w:tcW w:w="689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联系电话</w:t>
            </w:r>
          </w:p>
        </w:tc>
        <w:tc>
          <w:tcPr>
            <w:tcW w:w="919" w:type="pct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vertAlign w:val="baseline"/>
              </w:rPr>
            </w:pPr>
          </w:p>
        </w:tc>
        <w:tc>
          <w:tcPr>
            <w:tcW w:w="397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邮箱</w:t>
            </w:r>
          </w:p>
        </w:tc>
        <w:tc>
          <w:tcPr>
            <w:tcW w:w="772" w:type="pct"/>
            <w:vAlign w:val="center"/>
          </w:tcPr>
          <w:p>
            <w:pPr>
              <w:jc w:val="left"/>
              <w:rPr>
                <w:rFonts w:eastAsiaTheme="minorEastAsia"/>
                <w:sz w:val="21"/>
                <w:szCs w:val="21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所在</w:t>
            </w: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企业名称</w:t>
            </w:r>
            <w:r>
              <w:rPr>
                <w:rFonts w:hint="eastAsia" w:asciiTheme="minorEastAsia" w:hAnsiTheme="minorEastAsia" w:cstheme="minorEastAsia"/>
                <w:sz w:val="21"/>
                <w:szCs w:val="21"/>
                <w:vertAlign w:val="baseline"/>
                <w:lang w:eastAsia="zh-CN"/>
              </w:rPr>
              <w:t>及职务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8" w:type="pct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21"/>
                <w:szCs w:val="21"/>
                <w:vertAlign w:val="baseline"/>
              </w:rPr>
              <w:t>企业性质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□国企/央企 □民企 □外资/合资 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eastAsia="zh-CN"/>
              </w:rPr>
              <w:t>研究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机构/高校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eastAsia="zh-CN"/>
              </w:rPr>
              <w:t>合作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□其他：___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企业所属</w:t>
            </w:r>
          </w:p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行业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□电子通信  □集成电路  □软件和信息技术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eastAsia="zh-CN"/>
              </w:rPr>
              <w:t>□人工智能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□新能源汽车  </w:t>
            </w:r>
          </w:p>
          <w:p>
            <w:pPr>
              <w:jc w:val="left"/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□高端装备制造  □机械制造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 □新能源  □新材料  □生物医药  □跨境电商  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□其他：___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一、涉外知识产权布局概况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海外知识产权布局</w:t>
            </w: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地区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□美国  □英国  □法国  □德国  □加拿大  □日本  □韩国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□澳大利亚  □新加坡  □俄罗斯 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left"/>
              <w:textAlignment w:val="auto"/>
              <w:rPr>
                <w:rFonts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□其他国家/地区（请枚举：________）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□未布局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□正在规划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涉外知识产权类型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□专利  □商标  □版权  □商业秘密  □反垄断  □数据相关 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□其他：___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二、涉外知识产权纠纷情况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专利纠纷</w:t>
            </w:r>
          </w:p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概况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近三年企业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涉外专利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维权类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案件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件，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累计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标的额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万元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；</w:t>
            </w:r>
          </w:p>
          <w:p>
            <w:pPr>
              <w:jc w:val="left"/>
              <w:rPr>
                <w:rFonts w:hint="eastAsia"/>
                <w:sz w:val="18"/>
                <w:szCs w:val="18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 xml:space="preserve">               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被诉类案件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件，累计标的额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  <w:lang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万元；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lang w:eastAsia="zh-CN"/>
              </w:rPr>
              <w:t>其他知识产权纠纷概况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近三年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企业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其他知识产权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维权类案件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件，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累计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标的额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</w:rPr>
              <w:t xml:space="preserve">   万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</w:rPr>
              <w:t>元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eastAsia="zh-CN"/>
              </w:rPr>
              <w:t>；</w:t>
            </w:r>
          </w:p>
          <w:p>
            <w:pPr>
              <w:jc w:val="left"/>
              <w:rPr>
                <w:rFonts w:hint="default" w:asciiTheme="minorEastAsia" w:hAnsiTheme="minorEastAsia" w:cstheme="minorEastAsia"/>
                <w:sz w:val="18"/>
                <w:szCs w:val="18"/>
                <w:lang w:val="en-US" w:eastAsia="zh-CN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 xml:space="preserve">                      被诉类案件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件，累计标的额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lang w:val="en-US" w:eastAsia="zh-CN"/>
              </w:rPr>
              <w:t>万元；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海外纠纷</w:t>
            </w:r>
          </w:p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应对选择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□退出市场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寻求和解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应诉抗辩（不侵权/专利无效）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□视情况而定（请注明关键因素</w:t>
            </w:r>
            <w:r>
              <w:rPr>
                <w:rFonts w:hint="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(如标的额)    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Merge w:val="restar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合作律所</w:t>
            </w: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国内律所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金杜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贸促会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港专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柳沈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中伦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方达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集佳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德恒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盈科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其他：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___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国内律所海外分支机构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金杜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贸促会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港专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柳沈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中伦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方达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集佳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□德恒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盈科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其他：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___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海外律所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(美国)Kirkland &amp; Ellis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(欧洲)Hogan Lovells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 xml:space="preserve">(日本)AMT </w:t>
            </w:r>
          </w:p>
          <w:p>
            <w:pPr>
              <w:jc w:val="left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其他</w:t>
            </w: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：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___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1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/>
                <w:sz w:val="21"/>
                <w:szCs w:val="21"/>
                <w:vertAlign w:val="baseline"/>
                <w:lang w:eastAsia="zh-CN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/>
                <w:sz w:val="18"/>
                <w:szCs w:val="18"/>
                <w:vertAlign w:val="baseline"/>
                <w:lang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其他合作律师或律师团队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1" w:hRule="atLeast"/>
        </w:trPr>
        <w:tc>
          <w:tcPr>
            <w:tcW w:w="5000" w:type="pct"/>
            <w:gridSpan w:val="7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1"/>
                <w:szCs w:val="21"/>
                <w:vertAlign w:val="baseline"/>
                <w:lang w:eastAsia="zh-CN"/>
              </w:rPr>
              <w:t>三、涉外法律服务需求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848" w:type="pct"/>
            <w:vMerge w:val="restar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专利法律服务需求类型</w:t>
            </w: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申请布局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□涉外专利战略布局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□涉外专利申请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□专利自由实施（FTO）等检索分析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□标准必要专利布局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5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专利运营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涉外专利转让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□涉外专利许可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□涉外专利质押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□涉外技术交易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□专利池建设运营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□标准必要专利许可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合规管理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□跨境技术交易合规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□构建海外合规管理体系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□风险评估及管理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      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Merge w:val="continue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</w:p>
        </w:tc>
        <w:tc>
          <w:tcPr>
            <w:tcW w:w="676" w:type="pct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纠纷应对</w:t>
            </w:r>
          </w:p>
        </w:tc>
        <w:tc>
          <w:tcPr>
            <w:tcW w:w="3474" w:type="pct"/>
            <w:gridSpan w:val="5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□涉外专利复审及无效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涉外专利侵权纠纷（诉讼或仲裁）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□标准必要专利诉讼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□应对337调查等相关贸易调查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应对海外海关执法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应对跨境电商投诉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应对海外参展临时禁令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其他类型法律服务需求类型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□涉外商标注册申请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涉外商标争议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涉外商标许可转让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□涉外版权登记  □涉外版权争议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涉外版权许可转让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□涉外商业秘密争议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涉外反垄断争议 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□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涉外数据有关争议 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律师服务</w:t>
            </w:r>
          </w:p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偏好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□熟悉目标国家/地区法律与实务（国家/地区：___）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□有处理跨境诉讼/调查经验</w:t>
            </w:r>
          </w:p>
          <w:p>
            <w:pPr>
              <w:jc w:val="left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□有相关行业技术背景（如AI、生物、新能源等）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>□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vertAlign w:val="baseline"/>
                <w:lang w:val="en-US" w:eastAsia="zh-CN"/>
              </w:rPr>
              <w:t>其他：</w:t>
            </w:r>
            <w:r>
              <w:rPr>
                <w:rFonts w:hint="eastAsia" w:asciiTheme="minorEastAsia" w:hAnsiTheme="minorEastAsia" w:cstheme="minorEastAsia"/>
                <w:sz w:val="18"/>
                <w:szCs w:val="18"/>
                <w:u w:val="single"/>
                <w:vertAlign w:val="baseline"/>
                <w:lang w:val="en-US" w:eastAsia="zh-CN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57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出海知识产权痛点</w:t>
            </w:r>
          </w:p>
        </w:tc>
        <w:tc>
          <w:tcPr>
            <w:tcW w:w="4151" w:type="pct"/>
            <w:gridSpan w:val="6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□海外专利布局与审查实践规则不熟悉  □AI/数据/算法等新领域保护边界不清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□海外商标、商业秘密保护不足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□海外侵权风险预警与FTO排查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□337调查、海关扣押等风险应对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□跨境诉讼与纠纷应对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□海外诉讼成本高、预算有限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□缺乏专业团队与外部律师资源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</w:rPr>
            </w:pPr>
            <w:r>
              <w:rPr>
                <w:rFonts w:hint="eastAsia" w:eastAsiaTheme="minorEastAsia"/>
                <w:sz w:val="21"/>
                <w:szCs w:val="21"/>
                <w:vertAlign w:val="baseline"/>
              </w:rPr>
              <w:t>培训需求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□新兴产业专利确权与布局策略  □主要海外市场保护规则与趋势  </w:t>
            </w:r>
          </w:p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>□数据合规与商业秘密保护</w:t>
            </w:r>
            <w:r>
              <w:rPr>
                <w:rFonts w:hint="eastAsia" w:asciiTheme="minorHAnsi" w:eastAsiaTheme="minorEastAsia"/>
                <w:sz w:val="18"/>
                <w:szCs w:val="18"/>
                <w:vertAlign w:val="baseline"/>
                <w:lang w:val="en-US" w:eastAsia="zh-CN"/>
              </w:rPr>
              <w:t xml:space="preserve">  </w:t>
            </w:r>
            <w:r>
              <w:rPr>
                <w:rFonts w:hint="eastAsia" w:eastAsiaTheme="minorEastAsia"/>
                <w:sz w:val="18"/>
                <w:szCs w:val="18"/>
                <w:vertAlign w:val="baseline"/>
              </w:rPr>
              <w:t xml:space="preserve">□出海风险排查与防控体系  </w:t>
            </w:r>
            <w:r>
              <w:rPr>
                <w:rFonts w:hint="eastAsia" w:asciiTheme="minorEastAsia" w:hAnsiTheme="minorEastAsia" w:eastAsiaTheme="minorEastAsia" w:cstheme="minorEastAsia"/>
                <w:sz w:val="18"/>
                <w:szCs w:val="18"/>
                <w:vertAlign w:val="baseline"/>
              </w:rPr>
              <w:t>□典型案例与实务操作  □其他：</w:t>
            </w:r>
            <w:r>
              <w:rPr>
                <w:rFonts w:hint="eastAsia"/>
                <w:sz w:val="18"/>
                <w:szCs w:val="18"/>
                <w:u w:val="single"/>
              </w:rPr>
              <w:t xml:space="preserve">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78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default" w:eastAsiaTheme="minorEastAsia"/>
                <w:sz w:val="21"/>
                <w:szCs w:val="21"/>
                <w:vertAlign w:val="baseline"/>
                <w:lang w:val="en-US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需求</w:t>
            </w:r>
            <w:r>
              <w:rPr>
                <w:rFonts w:hint="eastAsia"/>
                <w:sz w:val="21"/>
                <w:szCs w:val="21"/>
                <w:vertAlign w:val="baseline"/>
                <w:lang w:val="en-US" w:eastAsia="zh-CN"/>
              </w:rPr>
              <w:t>/问题</w:t>
            </w:r>
          </w:p>
        </w:tc>
        <w:tc>
          <w:tcPr>
            <w:tcW w:w="4151" w:type="pct"/>
            <w:gridSpan w:val="6"/>
            <w:vAlign w:val="top"/>
          </w:tcPr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eastAsia="zh-CN"/>
              </w:rPr>
              <w:t>（请提出</w:t>
            </w: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3个企业最关注的法律问题或法律需求，用于沙龙现场针对性解答与交流，请尽量具体描述场景，律师将提前梳理问题，提升培训针对性）</w:t>
            </w:r>
          </w:p>
          <w:p>
            <w:pPr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1.</w:t>
            </w:r>
          </w:p>
          <w:p>
            <w:pPr>
              <w:jc w:val="both"/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2.</w:t>
            </w:r>
          </w:p>
          <w:p>
            <w:pPr>
              <w:jc w:val="both"/>
              <w:rPr>
                <w:rFonts w:hint="default"/>
                <w:sz w:val="18"/>
                <w:szCs w:val="18"/>
                <w:vertAlign w:val="baseline"/>
                <w:lang w:val="en-US" w:eastAsia="zh-CN"/>
              </w:rPr>
            </w:pPr>
            <w:r>
              <w:rPr>
                <w:rFonts w:hint="eastAsia"/>
                <w:sz w:val="18"/>
                <w:szCs w:val="18"/>
                <w:vertAlign w:val="baseline"/>
                <w:lang w:val="en-US" w:eastAsia="zh-CN"/>
              </w:rPr>
              <w:t>3.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99" w:hRule="atLeast"/>
        </w:trPr>
        <w:tc>
          <w:tcPr>
            <w:tcW w:w="848" w:type="pct"/>
            <w:vAlign w:val="center"/>
          </w:tcPr>
          <w:p>
            <w:pPr>
              <w:jc w:val="left"/>
              <w:rPr>
                <w:rFonts w:hint="eastAsia" w:eastAsiaTheme="minorEastAsia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/>
                <w:sz w:val="21"/>
                <w:szCs w:val="21"/>
                <w:vertAlign w:val="baseline"/>
                <w:lang w:eastAsia="zh-CN"/>
              </w:rPr>
              <w:t>意见建议</w:t>
            </w:r>
          </w:p>
        </w:tc>
        <w:tc>
          <w:tcPr>
            <w:tcW w:w="4151" w:type="pct"/>
            <w:gridSpan w:val="6"/>
            <w:vAlign w:val="center"/>
          </w:tcPr>
          <w:p>
            <w:pPr>
              <w:jc w:val="left"/>
              <w:rPr>
                <w:rFonts w:hint="eastAsia" w:eastAsiaTheme="minorEastAsia"/>
                <w:sz w:val="18"/>
                <w:szCs w:val="18"/>
                <w:vertAlign w:val="baseline"/>
              </w:rPr>
            </w:pPr>
          </w:p>
        </w:tc>
      </w:tr>
    </w:tbl>
    <w:p>
      <w:pPr>
        <w:jc w:val="both"/>
        <w:rPr>
          <w:rFonts w:hint="eastAsia"/>
          <w:b/>
          <w:sz w:val="30"/>
          <w:szCs w:val="30"/>
        </w:rPr>
      </w:pPr>
    </w:p>
    <w:p>
      <w:pPr>
        <w:numPr>
          <w:ilvl w:val="-1"/>
          <w:numId w:val="0"/>
        </w:numPr>
        <w:spacing w:after="156" w:afterLines="50" w:line="480" w:lineRule="exact"/>
        <w:ind w:left="-405" w:leftChars="-193" w:firstLine="0" w:firstLineChars="0"/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Wingdings 2">
    <w:altName w:val="方正宋体S-超大字符集(SIP)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  <w:font w:name="方正宋体S-超大字符集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Arial">
    <w:altName w:val="Nimbus Roman No9 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true"/>
  <w:bordersDoNotSurroundFooter w:val="true"/>
  <w:trackRevisions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DAA455F"/>
    <w:rsid w:val="0F6D1452"/>
    <w:rsid w:val="2FB5FF4E"/>
    <w:rsid w:val="2FBFD5C9"/>
    <w:rsid w:val="37EFAB20"/>
    <w:rsid w:val="3B7D52B4"/>
    <w:rsid w:val="3BF76C07"/>
    <w:rsid w:val="3DB9DFBB"/>
    <w:rsid w:val="3FE3ADC1"/>
    <w:rsid w:val="3FF7F654"/>
    <w:rsid w:val="3FF95E83"/>
    <w:rsid w:val="45F950C7"/>
    <w:rsid w:val="51BEEC5F"/>
    <w:rsid w:val="51F8EA88"/>
    <w:rsid w:val="553BD6C7"/>
    <w:rsid w:val="55F658FC"/>
    <w:rsid w:val="56FFA49A"/>
    <w:rsid w:val="57FEA190"/>
    <w:rsid w:val="65A78EB9"/>
    <w:rsid w:val="67A74285"/>
    <w:rsid w:val="6FBF975C"/>
    <w:rsid w:val="6FFDA3F8"/>
    <w:rsid w:val="70E66C4F"/>
    <w:rsid w:val="736D7208"/>
    <w:rsid w:val="7AC4F646"/>
    <w:rsid w:val="7BC7BDB0"/>
    <w:rsid w:val="7BFD2D93"/>
    <w:rsid w:val="7CBEFFF1"/>
    <w:rsid w:val="7CEF02B0"/>
    <w:rsid w:val="7DAA455F"/>
    <w:rsid w:val="7EDFB536"/>
    <w:rsid w:val="7EEF35AD"/>
    <w:rsid w:val="7FE69053"/>
    <w:rsid w:val="99FD199D"/>
    <w:rsid w:val="ADFDDB9C"/>
    <w:rsid w:val="B7F7302A"/>
    <w:rsid w:val="BBFE900D"/>
    <w:rsid w:val="BF2B14D8"/>
    <w:rsid w:val="E4FD6F13"/>
    <w:rsid w:val="EBFA107B"/>
    <w:rsid w:val="EF7ED3E2"/>
    <w:rsid w:val="F3FC2B75"/>
    <w:rsid w:val="F4BF4EA5"/>
    <w:rsid w:val="F6FFA242"/>
    <w:rsid w:val="FA5FA22F"/>
    <w:rsid w:val="FDBDB4F8"/>
    <w:rsid w:val="FFADE3E2"/>
    <w:rsid w:val="FFBFE5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5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Office_11.8.2.10458_F1E327BC-269C-435d-A152-05C5408002CA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2026-04-07T01:02:00Z</dcterms:created>
  <dc:creator>shijiabin20250113修改</dc:creator>
  <cp:lastModifiedBy>xiaosh1</cp:lastModifiedBy>
  <cp:lastPrinted>2026-04-09T16:46:00Z</cp:lastPrinted>
  <dcterms:modified xsi:type="dcterms:W3CDTF">2026-04-09T14:13:55Z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2052-11.8.2.10458</vt:lpwstr>
  </property>
  <property fmtid="{D5CDD505-2E9C-101B-9397-08002B2CF9AE}" pid="3" name="ICV">
    <vt:lpwstr>D12B5096389AD0D70BFBD669B2CB55CB_43</vt:lpwstr>
  </property>
</Properties>
</file>